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1A684" w14:textId="2CF0462D" w:rsidR="00BC3FE6" w:rsidRPr="00B2280E" w:rsidRDefault="00BC3FE6" w:rsidP="00B2280E">
      <w:pPr>
        <w:spacing w:after="0" w:line="276" w:lineRule="auto"/>
        <w:divId w:val="1994260757"/>
        <w:rPr>
          <w:rFonts w:ascii="Arial" w:eastAsia="Times New Roman" w:hAnsi="Arial" w:cs="Arial"/>
          <w:b/>
          <w:bCs/>
          <w:sz w:val="30"/>
          <w:szCs w:val="30"/>
          <w:lang w:val="en"/>
        </w:rPr>
      </w:pPr>
      <w:r w:rsidRPr="00B2280E">
        <w:rPr>
          <w:rFonts w:ascii="Arial" w:eastAsia="Times New Roman" w:hAnsi="Arial" w:cs="Arial"/>
          <w:b/>
          <w:bCs/>
          <w:sz w:val="30"/>
          <w:szCs w:val="30"/>
          <w:lang w:val="en"/>
        </w:rPr>
        <w:t>Protocol for the Examination of Specimens from Patients with Well-Differentiated Neuroendocrine Tumors (Carcinoid Tumors) of the Appendix</w:t>
      </w:r>
    </w:p>
    <w:p w14:paraId="0B7DDB7D"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765A1376" w14:textId="77777777" w:rsidR="00BC3FE6" w:rsidRPr="00B2280E" w:rsidRDefault="00BC3FE6" w:rsidP="00B2280E">
      <w:pPr>
        <w:spacing w:after="0" w:line="276" w:lineRule="auto"/>
        <w:divId w:val="262540803"/>
        <w:rPr>
          <w:rFonts w:ascii="Arial" w:eastAsia="Times New Roman" w:hAnsi="Arial" w:cs="Arial"/>
          <w:sz w:val="20"/>
          <w:szCs w:val="20"/>
          <w:lang w:val="en"/>
        </w:rPr>
      </w:pPr>
      <w:r w:rsidRPr="00B2280E">
        <w:rPr>
          <w:rFonts w:ascii="Arial" w:eastAsia="Times New Roman" w:hAnsi="Arial" w:cs="Arial"/>
          <w:b/>
          <w:bCs/>
          <w:sz w:val="20"/>
          <w:szCs w:val="20"/>
          <w:lang w:val="en"/>
        </w:rPr>
        <w:t xml:space="preserve">Version: </w:t>
      </w:r>
      <w:r w:rsidRPr="00B2280E">
        <w:rPr>
          <w:rFonts w:ascii="Arial" w:eastAsia="Times New Roman" w:hAnsi="Arial" w:cs="Arial"/>
          <w:sz w:val="20"/>
          <w:szCs w:val="20"/>
          <w:lang w:val="en"/>
        </w:rPr>
        <w:t>5.0.0.0</w:t>
      </w:r>
    </w:p>
    <w:p w14:paraId="78A999E3" w14:textId="77777777" w:rsidR="00BC3FE6" w:rsidRPr="00B2280E" w:rsidRDefault="00BC3FE6" w:rsidP="00B2280E">
      <w:pPr>
        <w:spacing w:after="0" w:line="276" w:lineRule="auto"/>
        <w:divId w:val="261299901"/>
        <w:rPr>
          <w:rFonts w:ascii="Arial" w:eastAsia="Times New Roman" w:hAnsi="Arial" w:cs="Arial"/>
          <w:sz w:val="20"/>
          <w:szCs w:val="20"/>
          <w:lang w:val="en"/>
        </w:rPr>
      </w:pPr>
      <w:r w:rsidRPr="00B2280E">
        <w:rPr>
          <w:rFonts w:ascii="Arial" w:eastAsia="Times New Roman" w:hAnsi="Arial" w:cs="Arial"/>
          <w:b/>
          <w:bCs/>
          <w:sz w:val="20"/>
          <w:szCs w:val="20"/>
          <w:lang w:val="en"/>
        </w:rPr>
        <w:t xml:space="preserve">Protocol Posting Date: </w:t>
      </w:r>
      <w:r w:rsidRPr="00B2280E">
        <w:rPr>
          <w:rFonts w:ascii="Arial" w:eastAsia="Times New Roman" w:hAnsi="Arial" w:cs="Arial"/>
          <w:sz w:val="20"/>
          <w:szCs w:val="20"/>
          <w:lang w:val="en"/>
        </w:rPr>
        <w:t xml:space="preserve">December 2023 </w:t>
      </w:r>
    </w:p>
    <w:p w14:paraId="1D819BC4" w14:textId="77777777" w:rsidR="00BC3FE6" w:rsidRPr="00B2280E" w:rsidRDefault="00BC3FE6" w:rsidP="00B2280E">
      <w:pPr>
        <w:spacing w:after="0" w:line="276" w:lineRule="auto"/>
        <w:divId w:val="1483473276"/>
        <w:rPr>
          <w:rFonts w:ascii="Arial" w:eastAsia="Times New Roman" w:hAnsi="Arial" w:cs="Arial"/>
          <w:sz w:val="20"/>
          <w:szCs w:val="20"/>
          <w:lang w:val="en"/>
        </w:rPr>
      </w:pPr>
      <w:r w:rsidRPr="00B2280E">
        <w:rPr>
          <w:rFonts w:ascii="Arial" w:eastAsia="Times New Roman" w:hAnsi="Arial" w:cs="Arial"/>
          <w:b/>
          <w:bCs/>
          <w:sz w:val="20"/>
          <w:szCs w:val="20"/>
          <w:lang w:val="en"/>
        </w:rPr>
        <w:t xml:space="preserve">CAP Laboratory Accreditation Program Protocol Required Use Date: </w:t>
      </w:r>
      <w:r w:rsidRPr="00B2280E">
        <w:rPr>
          <w:rFonts w:ascii="Arial" w:eastAsia="Times New Roman" w:hAnsi="Arial" w:cs="Arial"/>
          <w:sz w:val="20"/>
          <w:szCs w:val="20"/>
          <w:lang w:val="en"/>
        </w:rPr>
        <w:t>September 2024</w:t>
      </w:r>
    </w:p>
    <w:p w14:paraId="10418340" w14:textId="77777777" w:rsidR="00BC3FE6" w:rsidRPr="00B2280E" w:rsidRDefault="00BC3FE6" w:rsidP="00B2280E">
      <w:pPr>
        <w:spacing w:after="0" w:line="276" w:lineRule="auto"/>
        <w:divId w:val="1743990130"/>
        <w:rPr>
          <w:rFonts w:ascii="Arial" w:eastAsia="Times New Roman" w:hAnsi="Arial" w:cs="Arial"/>
          <w:sz w:val="20"/>
          <w:szCs w:val="20"/>
          <w:lang w:val="en"/>
        </w:rPr>
      </w:pPr>
      <w:r w:rsidRPr="00B2280E">
        <w:rPr>
          <w:rFonts w:ascii="Arial" w:eastAsia="Times New Roman" w:hAnsi="Arial" w:cs="Arial"/>
          <w:sz w:val="20"/>
          <w:szCs w:val="20"/>
          <w:lang w:val="en"/>
        </w:rPr>
        <w:t>The changes included in this current protocol version affect accreditation requirements. The new deadline for implementing this protocol version is reflected in the above accreditation date.</w:t>
      </w:r>
    </w:p>
    <w:p w14:paraId="3C54E7F2" w14:textId="77777777" w:rsidR="00BC3FE6" w:rsidRPr="00B2280E" w:rsidRDefault="00BC3FE6" w:rsidP="00B2280E">
      <w:pPr>
        <w:keepNext/>
        <w:tabs>
          <w:tab w:val="left" w:pos="360"/>
        </w:tabs>
        <w:spacing w:after="0" w:line="276" w:lineRule="auto"/>
        <w:outlineLvl w:val="1"/>
        <w:divId w:val="1391810704"/>
        <w:rPr>
          <w:rFonts w:ascii="Arial" w:hAnsi="Arial" w:cs="Arial"/>
          <w:sz w:val="20"/>
          <w:szCs w:val="20"/>
          <w:lang w:val="en"/>
        </w:rPr>
      </w:pPr>
      <w:r w:rsidRPr="00B2280E">
        <w:rPr>
          <w:rStyle w:val="Strong"/>
          <w:rFonts w:ascii="Arial" w:eastAsia="Calibri" w:hAnsi="Arial" w:cs="Arial"/>
          <w:bCs w:val="0"/>
          <w:color w:val="000000"/>
          <w:sz w:val="20"/>
          <w:szCs w:val="20"/>
          <w:lang w:val="en"/>
        </w:rPr>
        <w:t xml:space="preserve">For accreditation purposes, this protocol should be used </w:t>
      </w:r>
      <w:r w:rsidRPr="00B2280E">
        <w:rPr>
          <w:rStyle w:val="Strong"/>
          <w:rFonts w:ascii="Arial" w:eastAsia="Calibri" w:hAnsi="Arial" w:cs="Arial"/>
          <w:bCs w:val="0"/>
          <w:sz w:val="20"/>
          <w:szCs w:val="20"/>
          <w:lang w:val="en"/>
        </w:rPr>
        <w:t>for the following procedures AND tumor types: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5098"/>
      </w:tblGrid>
      <w:tr w:rsidR="00C817A6" w:rsidRPr="00B2280E" w14:paraId="2A3AF510" w14:textId="77777777" w:rsidTr="00B2280E">
        <w:trPr>
          <w:divId w:val="1391810704"/>
        </w:trPr>
        <w:tc>
          <w:tcPr>
            <w:tcW w:w="2274" w:type="pct"/>
            <w:tcBorders>
              <w:top w:val="single" w:sz="4" w:space="0" w:color="auto"/>
              <w:left w:val="single" w:sz="4" w:space="0" w:color="auto"/>
              <w:bottom w:val="single" w:sz="4" w:space="0" w:color="auto"/>
              <w:right w:val="single" w:sz="4" w:space="0" w:color="auto"/>
            </w:tcBorders>
            <w:shd w:val="clear" w:color="auto" w:fill="C0C0C0"/>
            <w:hideMark/>
          </w:tcPr>
          <w:p w14:paraId="20530383" w14:textId="77777777" w:rsidR="00BC3FE6" w:rsidRPr="00B2280E" w:rsidRDefault="00BC3FE6" w:rsidP="00B2280E">
            <w:pPr>
              <w:spacing w:after="0" w:line="276" w:lineRule="auto"/>
              <w:rPr>
                <w:rFonts w:ascii="Arial" w:hAnsi="Arial" w:cs="Arial"/>
                <w:sz w:val="18"/>
                <w:szCs w:val="18"/>
              </w:rPr>
            </w:pPr>
            <w:r w:rsidRPr="00B2280E">
              <w:rPr>
                <w:rStyle w:val="Strong"/>
                <w:rFonts w:ascii="Arial" w:eastAsia="SimSun" w:hAnsi="Arial" w:cs="Arial"/>
                <w:bCs w:val="0"/>
                <w:sz w:val="18"/>
                <w:szCs w:val="18"/>
              </w:rPr>
              <w:t>Procedure</w:t>
            </w:r>
          </w:p>
        </w:tc>
        <w:tc>
          <w:tcPr>
            <w:tcW w:w="2726" w:type="pct"/>
            <w:tcBorders>
              <w:top w:val="single" w:sz="4" w:space="0" w:color="auto"/>
              <w:left w:val="single" w:sz="4" w:space="0" w:color="auto"/>
              <w:bottom w:val="single" w:sz="4" w:space="0" w:color="auto"/>
              <w:right w:val="single" w:sz="4" w:space="0" w:color="auto"/>
            </w:tcBorders>
            <w:shd w:val="clear" w:color="auto" w:fill="C0C0C0"/>
            <w:hideMark/>
          </w:tcPr>
          <w:p w14:paraId="2BBA6ED7" w14:textId="77777777" w:rsidR="00BC3FE6" w:rsidRPr="00B2280E" w:rsidRDefault="00BC3FE6" w:rsidP="00B2280E">
            <w:pPr>
              <w:spacing w:after="0" w:line="276" w:lineRule="auto"/>
              <w:rPr>
                <w:rFonts w:ascii="Arial" w:hAnsi="Arial" w:cs="Arial"/>
                <w:sz w:val="18"/>
                <w:szCs w:val="18"/>
              </w:rPr>
            </w:pPr>
            <w:r w:rsidRPr="00B2280E">
              <w:rPr>
                <w:rStyle w:val="Strong"/>
                <w:rFonts w:ascii="Arial" w:eastAsia="SimSun" w:hAnsi="Arial" w:cs="Arial"/>
                <w:bCs w:val="0"/>
                <w:sz w:val="18"/>
                <w:szCs w:val="18"/>
              </w:rPr>
              <w:t>Description</w:t>
            </w:r>
          </w:p>
        </w:tc>
      </w:tr>
      <w:tr w:rsidR="00C817A6" w:rsidRPr="00B2280E" w14:paraId="6CE0803A" w14:textId="77777777" w:rsidTr="00B2280E">
        <w:trPr>
          <w:divId w:val="1391810704"/>
          <w:trHeight w:val="230"/>
        </w:trPr>
        <w:tc>
          <w:tcPr>
            <w:tcW w:w="2274" w:type="pct"/>
            <w:tcBorders>
              <w:top w:val="single" w:sz="4" w:space="0" w:color="auto"/>
              <w:left w:val="single" w:sz="4" w:space="0" w:color="auto"/>
              <w:bottom w:val="single" w:sz="4" w:space="0" w:color="auto"/>
              <w:right w:val="single" w:sz="4" w:space="0" w:color="auto"/>
            </w:tcBorders>
            <w:hideMark/>
          </w:tcPr>
          <w:p w14:paraId="32D8412D" w14:textId="77777777" w:rsidR="00BC3FE6" w:rsidRPr="00B2280E" w:rsidRDefault="00BC3FE6" w:rsidP="00B2280E">
            <w:pPr>
              <w:spacing w:after="0" w:line="276" w:lineRule="auto"/>
              <w:rPr>
                <w:rFonts w:ascii="Arial" w:hAnsi="Arial" w:cs="Arial"/>
                <w:sz w:val="18"/>
                <w:szCs w:val="18"/>
              </w:rPr>
            </w:pPr>
            <w:r w:rsidRPr="00B2280E">
              <w:rPr>
                <w:rFonts w:ascii="Arial" w:hAnsi="Arial" w:cs="Arial"/>
                <w:kern w:val="20"/>
                <w:sz w:val="18"/>
                <w:szCs w:val="18"/>
              </w:rPr>
              <w:t>Excision</w:t>
            </w:r>
          </w:p>
        </w:tc>
        <w:tc>
          <w:tcPr>
            <w:tcW w:w="2726" w:type="pct"/>
            <w:tcBorders>
              <w:top w:val="single" w:sz="4" w:space="0" w:color="auto"/>
              <w:left w:val="single" w:sz="4" w:space="0" w:color="auto"/>
              <w:bottom w:val="single" w:sz="4" w:space="0" w:color="auto"/>
              <w:right w:val="single" w:sz="4" w:space="0" w:color="auto"/>
            </w:tcBorders>
            <w:hideMark/>
          </w:tcPr>
          <w:p w14:paraId="2D493770" w14:textId="77777777" w:rsidR="00BC3FE6" w:rsidRPr="00B2280E" w:rsidRDefault="00BC3FE6" w:rsidP="00B2280E">
            <w:pPr>
              <w:spacing w:after="0" w:line="276" w:lineRule="auto"/>
              <w:rPr>
                <w:rFonts w:ascii="Arial" w:hAnsi="Arial" w:cs="Arial"/>
                <w:sz w:val="18"/>
                <w:szCs w:val="18"/>
              </w:rPr>
            </w:pPr>
            <w:r w:rsidRPr="00B2280E">
              <w:rPr>
                <w:rFonts w:ascii="Arial" w:eastAsia="SimSun" w:hAnsi="Arial" w:cs="Arial"/>
                <w:sz w:val="18"/>
                <w:szCs w:val="18"/>
              </w:rPr>
              <w:t>Includes specimens designated appendectomy, and right hemicolectomy</w:t>
            </w:r>
          </w:p>
        </w:tc>
      </w:tr>
      <w:tr w:rsidR="00C817A6" w:rsidRPr="00B2280E" w14:paraId="125B27E7" w14:textId="77777777" w:rsidTr="00B2280E">
        <w:trPr>
          <w:divId w:val="1391810704"/>
        </w:trPr>
        <w:tc>
          <w:tcPr>
            <w:tcW w:w="2274" w:type="pct"/>
            <w:tcBorders>
              <w:top w:val="single" w:sz="4" w:space="0" w:color="auto"/>
              <w:left w:val="single" w:sz="4" w:space="0" w:color="auto"/>
              <w:bottom w:val="single" w:sz="4" w:space="0" w:color="auto"/>
              <w:right w:val="single" w:sz="4" w:space="0" w:color="auto"/>
            </w:tcBorders>
            <w:shd w:val="clear" w:color="auto" w:fill="C0C0C0"/>
            <w:hideMark/>
          </w:tcPr>
          <w:p w14:paraId="7BA42847" w14:textId="77777777" w:rsidR="00BC3FE6" w:rsidRPr="00B2280E" w:rsidRDefault="00BC3FE6" w:rsidP="00B2280E">
            <w:pPr>
              <w:spacing w:after="0" w:line="276" w:lineRule="auto"/>
              <w:rPr>
                <w:rFonts w:ascii="Arial" w:hAnsi="Arial" w:cs="Arial"/>
                <w:sz w:val="18"/>
                <w:szCs w:val="18"/>
              </w:rPr>
            </w:pPr>
            <w:r w:rsidRPr="00B2280E">
              <w:rPr>
                <w:rStyle w:val="Strong"/>
                <w:rFonts w:ascii="Arial" w:eastAsia="SimSun" w:hAnsi="Arial" w:cs="Arial"/>
                <w:bCs w:val="0"/>
                <w:sz w:val="18"/>
                <w:szCs w:val="18"/>
              </w:rPr>
              <w:t>Tumor Type</w:t>
            </w:r>
          </w:p>
        </w:tc>
        <w:tc>
          <w:tcPr>
            <w:tcW w:w="2726" w:type="pct"/>
            <w:tcBorders>
              <w:top w:val="single" w:sz="4" w:space="0" w:color="auto"/>
              <w:left w:val="single" w:sz="4" w:space="0" w:color="auto"/>
              <w:bottom w:val="single" w:sz="4" w:space="0" w:color="auto"/>
              <w:right w:val="single" w:sz="4" w:space="0" w:color="auto"/>
            </w:tcBorders>
            <w:shd w:val="clear" w:color="auto" w:fill="C0C0C0"/>
            <w:hideMark/>
          </w:tcPr>
          <w:p w14:paraId="63AA2BB2" w14:textId="77777777" w:rsidR="00BC3FE6" w:rsidRPr="00B2280E" w:rsidRDefault="00BC3FE6" w:rsidP="00B2280E">
            <w:pPr>
              <w:spacing w:after="0" w:line="276" w:lineRule="auto"/>
              <w:rPr>
                <w:rFonts w:ascii="Arial" w:hAnsi="Arial" w:cs="Arial"/>
                <w:sz w:val="18"/>
                <w:szCs w:val="18"/>
              </w:rPr>
            </w:pPr>
            <w:r w:rsidRPr="00B2280E">
              <w:rPr>
                <w:rStyle w:val="Strong"/>
                <w:rFonts w:ascii="Arial" w:eastAsia="SimSun" w:hAnsi="Arial" w:cs="Arial"/>
                <w:bCs w:val="0"/>
                <w:sz w:val="18"/>
                <w:szCs w:val="18"/>
              </w:rPr>
              <w:t>Description</w:t>
            </w:r>
          </w:p>
        </w:tc>
      </w:tr>
      <w:tr w:rsidR="00C817A6" w:rsidRPr="00B2280E" w14:paraId="461EC59C" w14:textId="77777777" w:rsidTr="00B2280E">
        <w:trPr>
          <w:divId w:val="1391810704"/>
        </w:trPr>
        <w:tc>
          <w:tcPr>
            <w:tcW w:w="2274" w:type="pct"/>
            <w:tcBorders>
              <w:top w:val="single" w:sz="4" w:space="0" w:color="auto"/>
              <w:left w:val="single" w:sz="4" w:space="0" w:color="auto"/>
              <w:bottom w:val="single" w:sz="4" w:space="0" w:color="auto"/>
              <w:right w:val="single" w:sz="4" w:space="0" w:color="auto"/>
            </w:tcBorders>
            <w:hideMark/>
          </w:tcPr>
          <w:p w14:paraId="4E169365" w14:textId="2279E8AA" w:rsidR="00BC3FE6" w:rsidRPr="00B2280E" w:rsidRDefault="0058686A" w:rsidP="00B2280E">
            <w:pPr>
              <w:spacing w:after="0" w:line="276" w:lineRule="auto"/>
              <w:rPr>
                <w:rFonts w:ascii="Arial" w:hAnsi="Arial" w:cs="Arial"/>
                <w:sz w:val="18"/>
                <w:szCs w:val="18"/>
              </w:rPr>
            </w:pPr>
            <w:r w:rsidRPr="00B2280E">
              <w:rPr>
                <w:rFonts w:ascii="Arial" w:hAnsi="Arial" w:cs="Arial"/>
                <w:sz w:val="18"/>
                <w:szCs w:val="18"/>
              </w:rPr>
              <w:t>Well-differentiated</w:t>
            </w:r>
            <w:r w:rsidR="00BC3FE6" w:rsidRPr="00B2280E">
              <w:rPr>
                <w:rFonts w:ascii="Arial" w:hAnsi="Arial" w:cs="Arial"/>
                <w:sz w:val="18"/>
                <w:szCs w:val="18"/>
              </w:rPr>
              <w:t xml:space="preserve"> neuroendocrine tumor</w:t>
            </w:r>
          </w:p>
        </w:tc>
        <w:tc>
          <w:tcPr>
            <w:tcW w:w="2726" w:type="pct"/>
            <w:tcBorders>
              <w:top w:val="single" w:sz="4" w:space="0" w:color="auto"/>
              <w:left w:val="single" w:sz="4" w:space="0" w:color="auto"/>
              <w:bottom w:val="single" w:sz="4" w:space="0" w:color="auto"/>
              <w:right w:val="single" w:sz="4" w:space="0" w:color="auto"/>
            </w:tcBorders>
            <w:hideMark/>
          </w:tcPr>
          <w:p w14:paraId="532178A9" w14:textId="77777777" w:rsidR="00BC3FE6" w:rsidRPr="00B2280E" w:rsidRDefault="00BC3FE6" w:rsidP="00B2280E">
            <w:pPr>
              <w:spacing w:after="0" w:line="276" w:lineRule="auto"/>
              <w:rPr>
                <w:rFonts w:ascii="Arial" w:hAnsi="Arial" w:cs="Arial"/>
                <w:sz w:val="18"/>
                <w:szCs w:val="18"/>
              </w:rPr>
            </w:pPr>
            <w:r w:rsidRPr="00B2280E">
              <w:rPr>
                <w:rFonts w:ascii="Arial" w:eastAsia="SimSun" w:hAnsi="Arial" w:cs="Arial"/>
                <w:sz w:val="18"/>
                <w:szCs w:val="18"/>
              </w:rPr>
              <w:t> </w:t>
            </w:r>
          </w:p>
        </w:tc>
      </w:tr>
    </w:tbl>
    <w:p w14:paraId="258FBFD3" w14:textId="77777777" w:rsidR="00BC3FE6" w:rsidRPr="00B2280E" w:rsidRDefault="00BC3FE6" w:rsidP="00B2280E">
      <w:pPr>
        <w:spacing w:after="0" w:line="276" w:lineRule="auto"/>
        <w:divId w:val="1391810704"/>
        <w:rPr>
          <w:rFonts w:ascii="Arial" w:hAnsi="Arial" w:cs="Arial"/>
          <w:sz w:val="20"/>
          <w:szCs w:val="20"/>
          <w:lang w:val="en"/>
        </w:rPr>
      </w:pPr>
      <w:r w:rsidRPr="00B2280E">
        <w:rPr>
          <w:rFonts w:ascii="Arial" w:eastAsia="Calibri" w:hAnsi="Arial" w:cs="Arial"/>
          <w:sz w:val="20"/>
          <w:szCs w:val="20"/>
          <w:lang w:val="en"/>
        </w:rPr>
        <w:t> </w:t>
      </w:r>
    </w:p>
    <w:p w14:paraId="16BEC670" w14:textId="77777777" w:rsidR="00BC3FE6" w:rsidRPr="00B2280E" w:rsidRDefault="00BC3FE6" w:rsidP="00B2280E">
      <w:pPr>
        <w:keepNext/>
        <w:tabs>
          <w:tab w:val="left" w:pos="360"/>
        </w:tabs>
        <w:spacing w:after="0" w:line="276" w:lineRule="auto"/>
        <w:outlineLvl w:val="1"/>
        <w:divId w:val="1391810704"/>
        <w:rPr>
          <w:rFonts w:ascii="Arial" w:hAnsi="Arial" w:cs="Arial"/>
          <w:sz w:val="20"/>
          <w:szCs w:val="20"/>
          <w:lang w:val="en"/>
        </w:rPr>
      </w:pPr>
      <w:r w:rsidRPr="00B2280E">
        <w:rPr>
          <w:rStyle w:val="Strong"/>
          <w:rFonts w:ascii="Arial" w:eastAsia="Calibri" w:hAnsi="Arial" w:cs="Arial"/>
          <w:bCs w:val="0"/>
          <w:sz w:val="20"/>
          <w:szCs w:val="20"/>
          <w:lang w:val="en"/>
        </w:rPr>
        <w:t xml:space="preserve">This protocol is NOT required </w:t>
      </w:r>
      <w:r w:rsidRPr="00B2280E">
        <w:rPr>
          <w:rStyle w:val="Strong"/>
          <w:rFonts w:ascii="Arial" w:eastAsia="Calibri" w:hAnsi="Arial" w:cs="Arial"/>
          <w:bCs w:val="0"/>
          <w:color w:val="000000"/>
          <w:sz w:val="20"/>
          <w:szCs w:val="20"/>
          <w:lang w:val="en"/>
        </w:rPr>
        <w:t xml:space="preserve">for accreditation purposes </w:t>
      </w:r>
      <w:r w:rsidRPr="00B2280E">
        <w:rPr>
          <w:rStyle w:val="Strong"/>
          <w:rFonts w:ascii="Arial" w:eastAsia="Calibri" w:hAnsi="Arial" w:cs="Arial"/>
          <w:bCs w:val="0"/>
          <w:sz w:val="20"/>
          <w:szCs w:val="20"/>
          <w:lang w:val="en"/>
        </w:rPr>
        <w:t>for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C817A6" w:rsidRPr="00B2280E" w14:paraId="4772AD87" w14:textId="77777777" w:rsidTr="00B2280E">
        <w:trPr>
          <w:divId w:val="1391810704"/>
        </w:trPr>
        <w:tc>
          <w:tcPr>
            <w:tcW w:w="5000" w:type="pct"/>
            <w:tcBorders>
              <w:top w:val="single" w:sz="4" w:space="0" w:color="auto"/>
              <w:left w:val="single" w:sz="4" w:space="0" w:color="auto"/>
              <w:bottom w:val="single" w:sz="4" w:space="0" w:color="auto"/>
              <w:right w:val="single" w:sz="4" w:space="0" w:color="auto"/>
            </w:tcBorders>
            <w:shd w:val="clear" w:color="auto" w:fill="C0C0C0"/>
            <w:hideMark/>
          </w:tcPr>
          <w:p w14:paraId="2FCF86CA" w14:textId="77777777" w:rsidR="00BC3FE6" w:rsidRPr="00B2280E" w:rsidRDefault="00BC3FE6" w:rsidP="00B2280E">
            <w:pPr>
              <w:spacing w:after="0" w:line="276" w:lineRule="auto"/>
              <w:rPr>
                <w:rFonts w:ascii="Arial" w:hAnsi="Arial" w:cs="Arial"/>
                <w:sz w:val="18"/>
                <w:szCs w:val="18"/>
              </w:rPr>
            </w:pPr>
            <w:r w:rsidRPr="00B2280E">
              <w:rPr>
                <w:rStyle w:val="Strong"/>
                <w:rFonts w:ascii="Arial" w:eastAsia="SimSun" w:hAnsi="Arial" w:cs="Arial"/>
                <w:bCs w:val="0"/>
                <w:sz w:val="18"/>
                <w:szCs w:val="18"/>
              </w:rPr>
              <w:t>Procedure</w:t>
            </w:r>
          </w:p>
        </w:tc>
      </w:tr>
      <w:tr w:rsidR="00C817A6" w:rsidRPr="00B2280E" w14:paraId="34A8CBE1" w14:textId="77777777" w:rsidTr="00B2280E">
        <w:trPr>
          <w:divId w:val="1391810704"/>
          <w:trHeight w:val="152"/>
        </w:trPr>
        <w:tc>
          <w:tcPr>
            <w:tcW w:w="5000" w:type="pct"/>
            <w:tcBorders>
              <w:top w:val="single" w:sz="4" w:space="0" w:color="auto"/>
              <w:left w:val="single" w:sz="4" w:space="0" w:color="auto"/>
              <w:bottom w:val="single" w:sz="4" w:space="0" w:color="auto"/>
              <w:right w:val="single" w:sz="4" w:space="0" w:color="auto"/>
            </w:tcBorders>
            <w:hideMark/>
          </w:tcPr>
          <w:p w14:paraId="1577EC16" w14:textId="77777777" w:rsidR="00BC3FE6" w:rsidRPr="00B2280E" w:rsidRDefault="00BC3FE6" w:rsidP="00B2280E">
            <w:pPr>
              <w:spacing w:after="0" w:line="276" w:lineRule="auto"/>
              <w:rPr>
                <w:rFonts w:ascii="Arial" w:hAnsi="Arial" w:cs="Arial"/>
                <w:sz w:val="18"/>
                <w:szCs w:val="18"/>
              </w:rPr>
            </w:pPr>
            <w:r w:rsidRPr="00B2280E">
              <w:rPr>
                <w:rFonts w:ascii="Arial" w:hAnsi="Arial" w:cs="Arial"/>
                <w:color w:val="000000" w:themeColor="text1"/>
                <w:sz w:val="18"/>
                <w:szCs w:val="18"/>
              </w:rPr>
              <w:t>Biopsy</w:t>
            </w:r>
          </w:p>
        </w:tc>
      </w:tr>
      <w:tr w:rsidR="00C817A6" w:rsidRPr="00B2280E" w14:paraId="4D7BEC26" w14:textId="77777777" w:rsidTr="00B2280E">
        <w:trPr>
          <w:divId w:val="1391810704"/>
          <w:trHeight w:val="152"/>
        </w:trPr>
        <w:tc>
          <w:tcPr>
            <w:tcW w:w="5000" w:type="pct"/>
            <w:tcBorders>
              <w:top w:val="single" w:sz="4" w:space="0" w:color="auto"/>
              <w:left w:val="single" w:sz="4" w:space="0" w:color="auto"/>
              <w:bottom w:val="single" w:sz="4" w:space="0" w:color="auto"/>
              <w:right w:val="single" w:sz="4" w:space="0" w:color="auto"/>
            </w:tcBorders>
            <w:hideMark/>
          </w:tcPr>
          <w:p w14:paraId="4AA23FF1" w14:textId="77777777" w:rsidR="00BC3FE6" w:rsidRPr="00B2280E" w:rsidRDefault="00BC3FE6" w:rsidP="00B2280E">
            <w:pPr>
              <w:spacing w:after="0" w:line="276" w:lineRule="auto"/>
              <w:rPr>
                <w:rFonts w:ascii="Arial" w:hAnsi="Arial" w:cs="Arial"/>
                <w:sz w:val="18"/>
                <w:szCs w:val="18"/>
              </w:rPr>
            </w:pPr>
            <w:r w:rsidRPr="00B2280E">
              <w:rPr>
                <w:rFonts w:ascii="Arial" w:hAnsi="Arial" w:cs="Arial"/>
                <w:sz w:val="18"/>
                <w:szCs w:val="18"/>
              </w:rPr>
              <w:t>Primary resection specimen with no residual cancer (e.g., following neoadjuvant therapy)</w:t>
            </w:r>
          </w:p>
        </w:tc>
      </w:tr>
      <w:tr w:rsidR="00C817A6" w:rsidRPr="00B2280E" w14:paraId="181AE17B" w14:textId="77777777" w:rsidTr="00B2280E">
        <w:trPr>
          <w:divId w:val="1391810704"/>
          <w:trHeight w:val="152"/>
        </w:trPr>
        <w:tc>
          <w:tcPr>
            <w:tcW w:w="5000" w:type="pct"/>
            <w:tcBorders>
              <w:top w:val="single" w:sz="4" w:space="0" w:color="auto"/>
              <w:left w:val="single" w:sz="4" w:space="0" w:color="auto"/>
              <w:bottom w:val="single" w:sz="4" w:space="0" w:color="auto"/>
              <w:right w:val="single" w:sz="4" w:space="0" w:color="auto"/>
            </w:tcBorders>
            <w:hideMark/>
          </w:tcPr>
          <w:p w14:paraId="261F415A" w14:textId="77777777" w:rsidR="00BC3FE6" w:rsidRPr="00B2280E" w:rsidRDefault="00BC3FE6" w:rsidP="00B2280E">
            <w:pPr>
              <w:spacing w:after="0" w:line="276" w:lineRule="auto"/>
              <w:rPr>
                <w:rFonts w:ascii="Arial" w:hAnsi="Arial" w:cs="Arial"/>
                <w:sz w:val="18"/>
                <w:szCs w:val="18"/>
              </w:rPr>
            </w:pPr>
            <w:r w:rsidRPr="00B2280E">
              <w:rPr>
                <w:rFonts w:ascii="Arial" w:hAnsi="Arial" w:cs="Arial"/>
                <w:sz w:val="18"/>
                <w:szCs w:val="18"/>
              </w:rPr>
              <w:t>Recurrent tumor</w:t>
            </w:r>
          </w:p>
        </w:tc>
      </w:tr>
      <w:tr w:rsidR="00C817A6" w:rsidRPr="00B2280E" w14:paraId="38B738CB" w14:textId="77777777" w:rsidTr="00B2280E">
        <w:trPr>
          <w:divId w:val="1391810704"/>
          <w:trHeight w:val="152"/>
        </w:trPr>
        <w:tc>
          <w:tcPr>
            <w:tcW w:w="5000" w:type="pct"/>
            <w:tcBorders>
              <w:top w:val="single" w:sz="4" w:space="0" w:color="auto"/>
              <w:left w:val="single" w:sz="4" w:space="0" w:color="auto"/>
              <w:bottom w:val="single" w:sz="4" w:space="0" w:color="auto"/>
              <w:right w:val="single" w:sz="4" w:space="0" w:color="auto"/>
            </w:tcBorders>
            <w:hideMark/>
          </w:tcPr>
          <w:p w14:paraId="5A48DF9C" w14:textId="77777777" w:rsidR="00BC3FE6" w:rsidRPr="00B2280E" w:rsidRDefault="00BC3FE6" w:rsidP="00B2280E">
            <w:pPr>
              <w:spacing w:after="0" w:line="276" w:lineRule="auto"/>
              <w:rPr>
                <w:rFonts w:ascii="Arial" w:hAnsi="Arial" w:cs="Arial"/>
                <w:sz w:val="18"/>
                <w:szCs w:val="18"/>
              </w:rPr>
            </w:pPr>
            <w:r w:rsidRPr="00B2280E">
              <w:rPr>
                <w:rFonts w:ascii="Arial" w:hAnsi="Arial" w:cs="Arial"/>
                <w:sz w:val="18"/>
                <w:szCs w:val="18"/>
              </w:rPr>
              <w:t>Cytologic specimens</w:t>
            </w:r>
          </w:p>
        </w:tc>
      </w:tr>
    </w:tbl>
    <w:p w14:paraId="680A8468" w14:textId="77777777" w:rsidR="00BC3FE6" w:rsidRPr="00B2280E" w:rsidRDefault="00BC3FE6" w:rsidP="00B2280E">
      <w:pPr>
        <w:tabs>
          <w:tab w:val="center" w:pos="5040"/>
        </w:tabs>
        <w:spacing w:after="0" w:line="276" w:lineRule="auto"/>
        <w:divId w:val="1391810704"/>
        <w:rPr>
          <w:rFonts w:ascii="Arial" w:hAnsi="Arial" w:cs="Arial"/>
          <w:sz w:val="20"/>
          <w:szCs w:val="20"/>
          <w:lang w:val="en"/>
        </w:rPr>
      </w:pPr>
      <w:r w:rsidRPr="00B2280E">
        <w:rPr>
          <w:rFonts w:ascii="Arial" w:eastAsia="Calibri" w:hAnsi="Arial" w:cs="Arial"/>
          <w:sz w:val="20"/>
          <w:szCs w:val="20"/>
          <w:lang w:val="en"/>
        </w:rPr>
        <w:t> </w:t>
      </w:r>
    </w:p>
    <w:p w14:paraId="7686809D" w14:textId="77777777" w:rsidR="00BC3FE6" w:rsidRPr="00B2280E" w:rsidRDefault="00BC3FE6" w:rsidP="00B2280E">
      <w:pPr>
        <w:spacing w:after="0" w:line="276" w:lineRule="auto"/>
        <w:divId w:val="1391810704"/>
        <w:rPr>
          <w:rFonts w:ascii="Arial" w:hAnsi="Arial" w:cs="Arial"/>
          <w:sz w:val="20"/>
          <w:szCs w:val="20"/>
          <w:lang w:val="en"/>
        </w:rPr>
      </w:pPr>
      <w:r w:rsidRPr="00B2280E">
        <w:rPr>
          <w:rStyle w:val="Strong"/>
          <w:rFonts w:ascii="Arial" w:eastAsia="Calibri" w:hAnsi="Arial" w:cs="Arial"/>
          <w:bCs w:val="0"/>
          <w:kern w:val="18"/>
          <w:sz w:val="20"/>
          <w:szCs w:val="20"/>
          <w:lang w:val="en"/>
        </w:rPr>
        <w:t>The following tumor types should NOT be reported using this protocol: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C817A6" w:rsidRPr="00B2280E" w14:paraId="3FF83B7A" w14:textId="77777777" w:rsidTr="00B2280E">
        <w:trPr>
          <w:divId w:val="1391810704"/>
        </w:trPr>
        <w:tc>
          <w:tcPr>
            <w:tcW w:w="5000" w:type="pct"/>
            <w:tcBorders>
              <w:top w:val="single" w:sz="4" w:space="0" w:color="auto"/>
              <w:left w:val="single" w:sz="4" w:space="0" w:color="auto"/>
              <w:bottom w:val="single" w:sz="4" w:space="0" w:color="auto"/>
              <w:right w:val="single" w:sz="4" w:space="0" w:color="auto"/>
            </w:tcBorders>
            <w:shd w:val="clear" w:color="auto" w:fill="C0C0C0"/>
            <w:hideMark/>
          </w:tcPr>
          <w:p w14:paraId="21010A63" w14:textId="77777777" w:rsidR="00BC3FE6" w:rsidRPr="00B2280E" w:rsidRDefault="00BC3FE6" w:rsidP="00B2280E">
            <w:pPr>
              <w:spacing w:after="0" w:line="276" w:lineRule="auto"/>
              <w:rPr>
                <w:rFonts w:ascii="Arial" w:hAnsi="Arial" w:cs="Arial"/>
                <w:sz w:val="18"/>
                <w:szCs w:val="18"/>
              </w:rPr>
            </w:pPr>
            <w:r w:rsidRPr="00B2280E">
              <w:rPr>
                <w:rStyle w:val="Strong"/>
                <w:rFonts w:ascii="Arial" w:eastAsia="SimSun" w:hAnsi="Arial" w:cs="Arial"/>
                <w:bCs w:val="0"/>
                <w:sz w:val="18"/>
                <w:szCs w:val="18"/>
              </w:rPr>
              <w:t>Tumor Type</w:t>
            </w:r>
          </w:p>
        </w:tc>
      </w:tr>
      <w:tr w:rsidR="00C817A6" w:rsidRPr="00B2280E" w14:paraId="14EC9A34" w14:textId="77777777" w:rsidTr="00B2280E">
        <w:trPr>
          <w:divId w:val="1391810704"/>
        </w:trPr>
        <w:tc>
          <w:tcPr>
            <w:tcW w:w="5000" w:type="pct"/>
            <w:tcBorders>
              <w:top w:val="single" w:sz="4" w:space="0" w:color="auto"/>
              <w:left w:val="single" w:sz="4" w:space="0" w:color="auto"/>
              <w:bottom w:val="single" w:sz="4" w:space="0" w:color="auto"/>
              <w:right w:val="single" w:sz="4" w:space="0" w:color="auto"/>
            </w:tcBorders>
            <w:hideMark/>
          </w:tcPr>
          <w:p w14:paraId="310E840C" w14:textId="77777777" w:rsidR="00BC3FE6" w:rsidRPr="00B2280E" w:rsidRDefault="00BC3FE6" w:rsidP="00B2280E">
            <w:pPr>
              <w:spacing w:after="0" w:line="276" w:lineRule="auto"/>
              <w:rPr>
                <w:rFonts w:ascii="Arial" w:hAnsi="Arial" w:cs="Arial"/>
                <w:sz w:val="18"/>
                <w:szCs w:val="18"/>
              </w:rPr>
            </w:pPr>
            <w:r w:rsidRPr="00B2280E">
              <w:rPr>
                <w:rFonts w:ascii="Arial" w:hAnsi="Arial" w:cs="Arial"/>
                <w:sz w:val="18"/>
                <w:szCs w:val="18"/>
              </w:rPr>
              <w:t>Poorly differentiated neuroendocrine carcinomas (including small cell and large cell neuroendocrine carcinomas) (consider the Appendix Carcinoma protocol)</w:t>
            </w:r>
          </w:p>
        </w:tc>
      </w:tr>
      <w:tr w:rsidR="00C817A6" w:rsidRPr="00B2280E" w14:paraId="7C7E45EA" w14:textId="77777777" w:rsidTr="00B2280E">
        <w:trPr>
          <w:divId w:val="1391810704"/>
        </w:trPr>
        <w:tc>
          <w:tcPr>
            <w:tcW w:w="5000" w:type="pct"/>
            <w:tcBorders>
              <w:top w:val="single" w:sz="4" w:space="0" w:color="auto"/>
              <w:left w:val="single" w:sz="4" w:space="0" w:color="auto"/>
              <w:bottom w:val="single" w:sz="4" w:space="0" w:color="auto"/>
              <w:right w:val="single" w:sz="4" w:space="0" w:color="auto"/>
            </w:tcBorders>
            <w:hideMark/>
          </w:tcPr>
          <w:p w14:paraId="53E46833" w14:textId="77777777" w:rsidR="00BC3FE6" w:rsidRPr="00B2280E" w:rsidRDefault="00BC3FE6" w:rsidP="00B2280E">
            <w:pPr>
              <w:spacing w:after="0" w:line="276" w:lineRule="auto"/>
              <w:rPr>
                <w:rFonts w:ascii="Arial" w:hAnsi="Arial" w:cs="Arial"/>
                <w:sz w:val="18"/>
                <w:szCs w:val="18"/>
              </w:rPr>
            </w:pPr>
            <w:r w:rsidRPr="00B2280E">
              <w:rPr>
                <w:rFonts w:ascii="Arial" w:hAnsi="Arial" w:cs="Arial"/>
                <w:sz w:val="18"/>
                <w:szCs w:val="18"/>
              </w:rPr>
              <w:t>Goblet cell adenocarcinoma (consider the Appendix Carcinoma protocol)</w:t>
            </w:r>
          </w:p>
        </w:tc>
      </w:tr>
    </w:tbl>
    <w:p w14:paraId="134D1699"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0F68B756" w14:textId="77777777" w:rsidR="00BC3FE6" w:rsidRPr="00B2280E" w:rsidRDefault="00BC3FE6" w:rsidP="00B2280E">
      <w:pPr>
        <w:spacing w:after="0" w:line="276" w:lineRule="auto"/>
        <w:divId w:val="571699649"/>
        <w:rPr>
          <w:rFonts w:ascii="Arial" w:eastAsia="Times New Roman" w:hAnsi="Arial" w:cs="Arial"/>
          <w:b/>
          <w:bCs/>
          <w:sz w:val="20"/>
          <w:szCs w:val="20"/>
          <w:lang w:val="en"/>
        </w:rPr>
      </w:pPr>
      <w:r w:rsidRPr="00B2280E">
        <w:rPr>
          <w:rFonts w:ascii="Arial" w:eastAsia="Times New Roman" w:hAnsi="Arial" w:cs="Arial"/>
          <w:b/>
          <w:bCs/>
          <w:sz w:val="20"/>
          <w:szCs w:val="20"/>
          <w:lang w:val="en"/>
        </w:rPr>
        <w:t>Authors</w:t>
      </w:r>
    </w:p>
    <w:p w14:paraId="34B6873A" w14:textId="77777777" w:rsidR="00BC3FE6" w:rsidRPr="00B2280E" w:rsidRDefault="00BC3FE6" w:rsidP="00B2280E">
      <w:pPr>
        <w:spacing w:after="0" w:line="276" w:lineRule="auto"/>
        <w:divId w:val="579485380"/>
        <w:rPr>
          <w:rFonts w:ascii="Arial" w:eastAsia="Times New Roman" w:hAnsi="Arial" w:cs="Arial"/>
          <w:sz w:val="20"/>
          <w:szCs w:val="20"/>
          <w:lang w:val="en"/>
        </w:rPr>
      </w:pPr>
      <w:r w:rsidRPr="00B2280E">
        <w:rPr>
          <w:rFonts w:ascii="Arial" w:eastAsia="Times New Roman" w:hAnsi="Arial" w:cs="Arial"/>
          <w:sz w:val="20"/>
          <w:szCs w:val="20"/>
          <w:lang w:val="en"/>
        </w:rPr>
        <w:t>Dhanpat Jain, MD*; William V. Chopp, MD*; Rondell P. Graham, MBBS*.</w:t>
      </w:r>
      <w:r w:rsidRPr="00B2280E">
        <w:rPr>
          <w:rFonts w:ascii="Arial" w:eastAsia="Times New Roman" w:hAnsi="Arial" w:cs="Arial"/>
          <w:sz w:val="20"/>
          <w:szCs w:val="20"/>
          <w:lang w:val="en"/>
        </w:rPr>
        <w:br/>
        <w:t>With guidance from the CAP Cancer and CAP Pathology Electronic Reporting Committees.</w:t>
      </w:r>
      <w:r w:rsidRPr="00B2280E">
        <w:rPr>
          <w:rFonts w:ascii="Arial" w:eastAsia="Times New Roman" w:hAnsi="Arial" w:cs="Arial"/>
          <w:sz w:val="20"/>
          <w:szCs w:val="20"/>
          <w:lang w:val="en"/>
        </w:rPr>
        <w:br/>
      </w:r>
      <w:r w:rsidRPr="00B2280E">
        <w:rPr>
          <w:rFonts w:ascii="Arial" w:eastAsia="Times New Roman" w:hAnsi="Arial" w:cs="Arial"/>
          <w:sz w:val="16"/>
          <w:szCs w:val="16"/>
          <w:lang w:val="en"/>
        </w:rPr>
        <w:t>* Denotes primary author.</w:t>
      </w:r>
    </w:p>
    <w:p w14:paraId="596E9097"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01ADC681" w14:textId="77777777" w:rsidR="00BC3FE6" w:rsidRPr="00B2280E" w:rsidRDefault="00BC3FE6" w:rsidP="00AC3C7F">
      <w:pPr>
        <w:pageBreakBefore/>
        <w:spacing w:after="0" w:line="276" w:lineRule="auto"/>
        <w:jc w:val="both"/>
        <w:divId w:val="2045327822"/>
        <w:rPr>
          <w:rFonts w:ascii="Arial" w:eastAsia="Times New Roman" w:hAnsi="Arial" w:cs="Arial"/>
          <w:b/>
          <w:bCs/>
          <w:sz w:val="20"/>
          <w:szCs w:val="20"/>
          <w:lang w:val="en"/>
        </w:rPr>
      </w:pPr>
      <w:r w:rsidRPr="00B2280E">
        <w:rPr>
          <w:rFonts w:ascii="Arial" w:eastAsia="Times New Roman" w:hAnsi="Arial" w:cs="Arial"/>
          <w:b/>
          <w:bCs/>
          <w:sz w:val="20"/>
          <w:szCs w:val="20"/>
          <w:lang w:val="en"/>
        </w:rPr>
        <w:lastRenderedPageBreak/>
        <w:t>Accreditation Requirements</w:t>
      </w:r>
    </w:p>
    <w:p w14:paraId="02A4E795" w14:textId="77777777" w:rsidR="00BC3FE6" w:rsidRPr="00B2280E" w:rsidRDefault="00BC3FE6" w:rsidP="00AC3C7F">
      <w:pPr>
        <w:pStyle w:val="NormalWeb"/>
        <w:spacing w:before="0" w:beforeAutospacing="0" w:after="0" w:afterAutospacing="0" w:line="276" w:lineRule="auto"/>
        <w:jc w:val="both"/>
        <w:divId w:val="501628415"/>
        <w:rPr>
          <w:rFonts w:ascii="Arial" w:hAnsi="Arial" w:cs="Arial"/>
          <w:sz w:val="20"/>
          <w:szCs w:val="20"/>
          <w:lang w:val="en"/>
        </w:rPr>
      </w:pPr>
      <w:r w:rsidRPr="00B2280E">
        <w:rPr>
          <w:rFonts w:ascii="Arial" w:hAnsi="Arial" w:cs="Arial"/>
          <w:sz w:val="20"/>
          <w:szCs w:val="20"/>
          <w:lang w:val="en"/>
        </w:rPr>
        <w:t>This protocol can be utilized for a variety of procedures and tumor types for clinical care purposes. For accreditation purposes, only the definitive primary cancer resection specimen is required to have the core and conditional data elements reported in a synoptic format.</w:t>
      </w:r>
    </w:p>
    <w:p w14:paraId="0B54F2C3" w14:textId="77777777" w:rsidR="00BC3FE6" w:rsidRPr="00B2280E" w:rsidRDefault="00BC3FE6" w:rsidP="00AC3C7F">
      <w:pPr>
        <w:numPr>
          <w:ilvl w:val="0"/>
          <w:numId w:val="1"/>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u w:val="single"/>
          <w:lang w:val="en"/>
        </w:rPr>
        <w:t>Core data elements</w:t>
      </w:r>
      <w:r w:rsidRPr="00B2280E">
        <w:rPr>
          <w:rFonts w:ascii="Arial" w:eastAsia="Times New Roman" w:hAnsi="Arial" w:cs="Arial"/>
          <w:sz w:val="20"/>
          <w:szCs w:val="20"/>
          <w:lang w:val="en"/>
        </w:rPr>
        <w:t xml:space="preserve"> are required in reports to adequately describe appropriate malignancies. For accreditation purposes, essential data elements must be reported in all instances, even if the response is “not applicable” or “cannot be determined.”</w:t>
      </w:r>
    </w:p>
    <w:p w14:paraId="54F1CCB8" w14:textId="77777777" w:rsidR="00BC3FE6" w:rsidRPr="00B2280E" w:rsidRDefault="00BC3FE6" w:rsidP="00AC3C7F">
      <w:pPr>
        <w:numPr>
          <w:ilvl w:val="0"/>
          <w:numId w:val="1"/>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u w:val="single"/>
          <w:lang w:val="en"/>
        </w:rPr>
        <w:t>Conditional data elements</w:t>
      </w:r>
      <w:r w:rsidRPr="00B2280E">
        <w:rPr>
          <w:rFonts w:ascii="Arial" w:eastAsia="Times New Roman" w:hAnsi="Arial" w:cs="Arial"/>
          <w:sz w:val="20"/>
          <w:szCs w:val="20"/>
          <w:lang w:val="en"/>
        </w:rPr>
        <w:t xml:space="preserve"> are only required to be reported if applicable as delineated in the protocol. For instance, the total number of lymph nodes examined must be reported, but only if nodes are present in the specimen.</w:t>
      </w:r>
    </w:p>
    <w:p w14:paraId="5B4795AA" w14:textId="77777777" w:rsidR="00BC3FE6" w:rsidRPr="00B2280E" w:rsidRDefault="00BC3FE6" w:rsidP="00AC3C7F">
      <w:pPr>
        <w:numPr>
          <w:ilvl w:val="0"/>
          <w:numId w:val="1"/>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u w:val="single"/>
          <w:lang w:val="en"/>
        </w:rPr>
        <w:t>Optional data elements</w:t>
      </w:r>
      <w:r w:rsidRPr="00B2280E">
        <w:rPr>
          <w:rFonts w:ascii="Arial" w:eastAsia="Times New Roman" w:hAnsi="Arial" w:cs="Arial"/>
          <w:sz w:val="20"/>
          <w:szCs w:val="20"/>
          <w:lang w:val="en"/>
        </w:rPr>
        <w:t xml:space="preserve"> are identified with “+” and although not required for CAP accreditation purposes, may be considered for reporting as determined by local practice standards.</w:t>
      </w:r>
    </w:p>
    <w:p w14:paraId="644574D2" w14:textId="1A0E6B28" w:rsidR="00BC3FE6" w:rsidRPr="00B2280E" w:rsidRDefault="00BC3FE6" w:rsidP="00AC3C7F">
      <w:pPr>
        <w:pStyle w:val="NormalWeb"/>
        <w:spacing w:before="0" w:beforeAutospacing="0" w:after="0" w:afterAutospacing="0" w:line="276" w:lineRule="auto"/>
        <w:jc w:val="both"/>
        <w:divId w:val="501628415"/>
        <w:rPr>
          <w:rFonts w:ascii="Arial" w:hAnsi="Arial" w:cs="Arial"/>
          <w:sz w:val="20"/>
          <w:szCs w:val="20"/>
          <w:lang w:val="en"/>
        </w:rPr>
      </w:pPr>
      <w:r w:rsidRPr="00B2280E">
        <w:rPr>
          <w:rFonts w:ascii="Arial" w:hAnsi="Arial" w:cs="Arial"/>
          <w:sz w:val="20"/>
          <w:szCs w:val="20"/>
          <w:lang w:val="en"/>
        </w:rPr>
        <w:t>The use of this protocol is not required for recurrent tumors or for metastatic tumors that are resected at a different time than the primary tumor. Use of this protocol is also not required for pathology reviews performed at a second institution (i.e., secondary consultation, second opinion, or review of outside case at second institution).</w:t>
      </w:r>
    </w:p>
    <w:p w14:paraId="1941B174" w14:textId="77777777" w:rsidR="00B2280E" w:rsidRDefault="00B2280E" w:rsidP="00AC3C7F">
      <w:pPr>
        <w:pStyle w:val="NormalWeb"/>
        <w:spacing w:before="0" w:beforeAutospacing="0" w:after="0" w:afterAutospacing="0" w:line="276" w:lineRule="auto"/>
        <w:jc w:val="both"/>
        <w:divId w:val="501628415"/>
        <w:rPr>
          <w:rFonts w:ascii="Arial" w:hAnsi="Arial" w:cs="Arial"/>
          <w:sz w:val="20"/>
          <w:szCs w:val="20"/>
          <w:lang w:val="en"/>
        </w:rPr>
      </w:pPr>
    </w:p>
    <w:p w14:paraId="1D6C4BAD" w14:textId="341EB63A" w:rsidR="00BC3FE6" w:rsidRPr="00B2280E" w:rsidRDefault="00BC3FE6" w:rsidP="00AC3C7F">
      <w:pPr>
        <w:pStyle w:val="NormalWeb"/>
        <w:spacing w:before="0" w:beforeAutospacing="0" w:after="0" w:afterAutospacing="0" w:line="276" w:lineRule="auto"/>
        <w:jc w:val="both"/>
        <w:divId w:val="501628415"/>
        <w:rPr>
          <w:rFonts w:ascii="Arial" w:hAnsi="Arial" w:cs="Arial"/>
          <w:sz w:val="20"/>
          <w:szCs w:val="20"/>
          <w:lang w:val="en"/>
        </w:rPr>
      </w:pPr>
      <w:r w:rsidRPr="00B2280E">
        <w:rPr>
          <w:rStyle w:val="Strong"/>
          <w:rFonts w:ascii="Arial" w:hAnsi="Arial" w:cs="Arial"/>
          <w:sz w:val="20"/>
          <w:szCs w:val="20"/>
          <w:lang w:val="en"/>
        </w:rPr>
        <w:t>Synoptic Reporting</w:t>
      </w:r>
    </w:p>
    <w:p w14:paraId="5E9FFB32" w14:textId="77777777" w:rsidR="00BC3FE6" w:rsidRPr="00B2280E" w:rsidRDefault="00BC3FE6" w:rsidP="00AC3C7F">
      <w:pPr>
        <w:pStyle w:val="NormalWeb"/>
        <w:spacing w:before="0" w:beforeAutospacing="0" w:after="0" w:afterAutospacing="0" w:line="276" w:lineRule="auto"/>
        <w:jc w:val="both"/>
        <w:divId w:val="501628415"/>
        <w:rPr>
          <w:rFonts w:ascii="Arial" w:hAnsi="Arial" w:cs="Arial"/>
          <w:sz w:val="20"/>
          <w:szCs w:val="20"/>
          <w:lang w:val="en"/>
        </w:rPr>
      </w:pPr>
      <w:r w:rsidRPr="00B2280E">
        <w:rPr>
          <w:rFonts w:ascii="Arial" w:hAnsi="Arial" w:cs="Arial"/>
          <w:sz w:val="20"/>
          <w:szCs w:val="20"/>
          <w:lang w:val="en"/>
        </w:rPr>
        <w:t>All core and conditionally required data elements outlined on the surgical case summary from this cancer protocol must be displayed in synoptic report format. Synoptic format is defined as:</w:t>
      </w:r>
    </w:p>
    <w:p w14:paraId="3A7494B7" w14:textId="77777777" w:rsidR="00BC3FE6" w:rsidRPr="00B2280E" w:rsidRDefault="00BC3FE6" w:rsidP="00AC3C7F">
      <w:pPr>
        <w:numPr>
          <w:ilvl w:val="0"/>
          <w:numId w:val="2"/>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lang w:val="en"/>
        </w:rPr>
        <w:t>Data element: followed by its answer (response), outline format without the paired Data element: Response format is NOT considered synoptic.</w:t>
      </w:r>
    </w:p>
    <w:p w14:paraId="257A0B5F" w14:textId="77777777" w:rsidR="00BC3FE6" w:rsidRPr="00B2280E" w:rsidRDefault="00BC3FE6" w:rsidP="00AC3C7F">
      <w:pPr>
        <w:numPr>
          <w:ilvl w:val="0"/>
          <w:numId w:val="2"/>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lang w:val="en"/>
        </w:rPr>
        <w:t>The data element should be represented in the report as it is listed in the case summary. The response for any data element may be modified from those listed in the case summary, including “Cannot be determined” if appropriate.</w:t>
      </w:r>
    </w:p>
    <w:p w14:paraId="5612FBA6" w14:textId="77777777" w:rsidR="00BC3FE6" w:rsidRPr="00B2280E" w:rsidRDefault="00BC3FE6" w:rsidP="00AC3C7F">
      <w:pPr>
        <w:numPr>
          <w:ilvl w:val="0"/>
          <w:numId w:val="2"/>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lang w:val="en"/>
        </w:rPr>
        <w:t>Each diagnostic parameter pair (Data element: Response) is listed on a separate line or in a tabular format to achieve visual separation. The following exceptions are allowed to be listed on one line:</w:t>
      </w:r>
    </w:p>
    <w:p w14:paraId="314CFBBA" w14:textId="77777777" w:rsidR="00BC3FE6" w:rsidRPr="00B2280E" w:rsidRDefault="00BC3FE6" w:rsidP="00AC3C7F">
      <w:pPr>
        <w:numPr>
          <w:ilvl w:val="1"/>
          <w:numId w:val="2"/>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lang w:val="en"/>
        </w:rPr>
        <w:t>Anatomic site or specimen, laterality, and procedure</w:t>
      </w:r>
    </w:p>
    <w:p w14:paraId="7161E20A" w14:textId="77777777" w:rsidR="00BC3FE6" w:rsidRPr="00B2280E" w:rsidRDefault="00BC3FE6" w:rsidP="00AC3C7F">
      <w:pPr>
        <w:numPr>
          <w:ilvl w:val="1"/>
          <w:numId w:val="2"/>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lang w:val="en"/>
        </w:rPr>
        <w:t>Pathologic Stage Classification (</w:t>
      </w:r>
      <w:proofErr w:type="spellStart"/>
      <w:r w:rsidRPr="00B2280E">
        <w:rPr>
          <w:rFonts w:ascii="Arial" w:eastAsia="Times New Roman" w:hAnsi="Arial" w:cs="Arial"/>
          <w:sz w:val="20"/>
          <w:szCs w:val="20"/>
          <w:lang w:val="en"/>
        </w:rPr>
        <w:t>pTNM</w:t>
      </w:r>
      <w:proofErr w:type="spellEnd"/>
      <w:r w:rsidRPr="00B2280E">
        <w:rPr>
          <w:rFonts w:ascii="Arial" w:eastAsia="Times New Roman" w:hAnsi="Arial" w:cs="Arial"/>
          <w:sz w:val="20"/>
          <w:szCs w:val="20"/>
          <w:lang w:val="en"/>
        </w:rPr>
        <w:t>) elements</w:t>
      </w:r>
    </w:p>
    <w:p w14:paraId="532980CF" w14:textId="77777777" w:rsidR="00BC3FE6" w:rsidRPr="00B2280E" w:rsidRDefault="00BC3FE6" w:rsidP="00AC3C7F">
      <w:pPr>
        <w:numPr>
          <w:ilvl w:val="1"/>
          <w:numId w:val="2"/>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lang w:val="en"/>
        </w:rPr>
        <w:t xml:space="preserve">Negative margins, as long as all negative margins are specifically enumerated where </w:t>
      </w:r>
      <w:proofErr w:type="gramStart"/>
      <w:r w:rsidRPr="00B2280E">
        <w:rPr>
          <w:rFonts w:ascii="Arial" w:eastAsia="Times New Roman" w:hAnsi="Arial" w:cs="Arial"/>
          <w:sz w:val="20"/>
          <w:szCs w:val="20"/>
          <w:lang w:val="en"/>
        </w:rPr>
        <w:t>applicable</w:t>
      </w:r>
      <w:proofErr w:type="gramEnd"/>
    </w:p>
    <w:p w14:paraId="7A3F63AE" w14:textId="77777777" w:rsidR="00BC3FE6" w:rsidRPr="00B2280E" w:rsidRDefault="00BC3FE6" w:rsidP="00AC3C7F">
      <w:pPr>
        <w:numPr>
          <w:ilvl w:val="0"/>
          <w:numId w:val="2"/>
        </w:numPr>
        <w:spacing w:after="0" w:line="276" w:lineRule="auto"/>
        <w:jc w:val="both"/>
        <w:divId w:val="501628415"/>
        <w:rPr>
          <w:rFonts w:ascii="Arial" w:eastAsia="Times New Roman" w:hAnsi="Arial" w:cs="Arial"/>
          <w:sz w:val="20"/>
          <w:szCs w:val="20"/>
          <w:lang w:val="en"/>
        </w:rPr>
      </w:pPr>
      <w:r w:rsidRPr="00B2280E">
        <w:rPr>
          <w:rFonts w:ascii="Arial" w:eastAsia="Times New Roman" w:hAnsi="Arial" w:cs="Arial"/>
          <w:sz w:val="20"/>
          <w:szCs w:val="20"/>
          <w:lang w:val="en"/>
        </w:rPr>
        <w:t xml:space="preserve">The synoptic portion of the report can appear in the diagnosis section of the pathology report, at the end of the report or in a separate section, but all Data element: Responses must be listed together in one </w:t>
      </w:r>
      <w:proofErr w:type="gramStart"/>
      <w:r w:rsidRPr="00B2280E">
        <w:rPr>
          <w:rFonts w:ascii="Arial" w:eastAsia="Times New Roman" w:hAnsi="Arial" w:cs="Arial"/>
          <w:sz w:val="20"/>
          <w:szCs w:val="20"/>
          <w:lang w:val="en"/>
        </w:rPr>
        <w:t>location</w:t>
      </w:r>
      <w:proofErr w:type="gramEnd"/>
    </w:p>
    <w:p w14:paraId="4EC6C716" w14:textId="3A28C860" w:rsidR="00BC3FE6" w:rsidRPr="00AC3C7F" w:rsidRDefault="00BC3FE6" w:rsidP="00AC3C7F">
      <w:pPr>
        <w:pStyle w:val="NormalWeb"/>
        <w:spacing w:before="0" w:beforeAutospacing="0" w:after="0" w:afterAutospacing="0" w:line="276" w:lineRule="auto"/>
        <w:jc w:val="both"/>
        <w:divId w:val="501628415"/>
        <w:rPr>
          <w:rFonts w:ascii="Arial" w:hAnsi="Arial" w:cs="Arial"/>
          <w:sz w:val="20"/>
          <w:szCs w:val="20"/>
          <w:lang w:val="en"/>
        </w:rPr>
      </w:pPr>
      <w:r w:rsidRPr="00B2280E">
        <w:rPr>
          <w:rFonts w:ascii="Arial" w:hAnsi="Arial" w:cs="Arial"/>
          <w:sz w:val="20"/>
          <w:szCs w:val="20"/>
          <w:lang w:val="en"/>
        </w:rPr>
        <w:t xml:space="preserve">Organizations and pathologists may choose to list the required elements in any order, use additional methods </w:t>
      </w:r>
      <w:proofErr w:type="gramStart"/>
      <w:r w:rsidRPr="00B2280E">
        <w:rPr>
          <w:rFonts w:ascii="Arial" w:hAnsi="Arial" w:cs="Arial"/>
          <w:sz w:val="20"/>
          <w:szCs w:val="20"/>
          <w:lang w:val="en"/>
        </w:rPr>
        <w:t>in order to</w:t>
      </w:r>
      <w:proofErr w:type="gramEnd"/>
      <w:r w:rsidRPr="00B2280E">
        <w:rPr>
          <w:rFonts w:ascii="Arial" w:hAnsi="Arial" w:cs="Arial"/>
          <w:sz w:val="20"/>
          <w:szCs w:val="20"/>
          <w:lang w:val="en"/>
        </w:rPr>
        <w:t xml:space="preserve"> enhance or achieve visual separation, or add optional items within the synoptic report. The report may have required elements in a summary format elsewhere in the report IN ADDITION TO but not as replacement for the synoptic report </w:t>
      </w:r>
      <w:proofErr w:type="spellStart"/>
      <w:r w:rsidRPr="00B2280E">
        <w:rPr>
          <w:rFonts w:ascii="Arial" w:hAnsi="Arial" w:cs="Arial"/>
          <w:sz w:val="20"/>
          <w:szCs w:val="20"/>
          <w:lang w:val="en"/>
        </w:rPr>
        <w:t>ie</w:t>
      </w:r>
      <w:proofErr w:type="spellEnd"/>
      <w:r w:rsidRPr="00B2280E">
        <w:rPr>
          <w:rFonts w:ascii="Arial" w:hAnsi="Arial" w:cs="Arial"/>
          <w:sz w:val="20"/>
          <w:szCs w:val="20"/>
          <w:lang w:val="en"/>
        </w:rPr>
        <w:t>, all required elements must be in the synoptic portion of the report in the format defined above.</w:t>
      </w:r>
    </w:p>
    <w:p w14:paraId="6CA48919" w14:textId="77777777" w:rsidR="00BC3FE6" w:rsidRPr="00B2280E" w:rsidRDefault="00BC3FE6" w:rsidP="00B2280E">
      <w:pPr>
        <w:spacing w:after="0" w:line="276" w:lineRule="auto"/>
        <w:divId w:val="1971473984"/>
        <w:rPr>
          <w:rFonts w:ascii="Arial" w:eastAsia="Times New Roman" w:hAnsi="Arial" w:cs="Arial"/>
          <w:b/>
          <w:bCs/>
          <w:sz w:val="20"/>
          <w:szCs w:val="20"/>
          <w:u w:val="single"/>
          <w:lang w:val="en"/>
        </w:rPr>
      </w:pPr>
    </w:p>
    <w:p w14:paraId="38C4689C" w14:textId="77777777" w:rsidR="00B2280E" w:rsidRDefault="00B2280E" w:rsidP="00B2280E">
      <w:pPr>
        <w:pStyle w:val="NormalWeb"/>
        <w:spacing w:before="0" w:beforeAutospacing="0" w:after="0" w:afterAutospacing="0" w:line="276" w:lineRule="auto"/>
        <w:divId w:val="501628415"/>
        <w:rPr>
          <w:rFonts w:ascii="Arial" w:hAnsi="Arial" w:cs="Arial"/>
          <w:sz w:val="20"/>
          <w:szCs w:val="20"/>
          <w:lang w:val="en"/>
        </w:rPr>
      </w:pPr>
    </w:p>
    <w:p w14:paraId="0039EBEB" w14:textId="77777777" w:rsidR="00B2280E" w:rsidRDefault="00B2280E">
      <w:pPr>
        <w:rPr>
          <w:rFonts w:ascii="Arial" w:eastAsia="Times New Roman" w:hAnsi="Arial" w:cs="Arial"/>
          <w:b/>
          <w:bCs/>
          <w:sz w:val="20"/>
          <w:szCs w:val="20"/>
          <w:u w:val="single"/>
          <w:lang w:val="en"/>
        </w:rPr>
      </w:pPr>
      <w:r>
        <w:rPr>
          <w:rFonts w:ascii="Arial" w:eastAsia="Times New Roman" w:hAnsi="Arial" w:cs="Arial"/>
          <w:b/>
          <w:bCs/>
          <w:sz w:val="20"/>
          <w:szCs w:val="20"/>
          <w:u w:val="single"/>
          <w:lang w:val="en"/>
        </w:rPr>
        <w:br w:type="page"/>
      </w:r>
    </w:p>
    <w:p w14:paraId="66E7693B" w14:textId="491C34A4" w:rsidR="00BC3FE6" w:rsidRPr="00B2280E" w:rsidRDefault="00BC3FE6" w:rsidP="00B2280E">
      <w:pPr>
        <w:spacing w:after="0" w:line="276" w:lineRule="auto"/>
        <w:divId w:val="1971473984"/>
        <w:rPr>
          <w:rStyle w:val="Strong"/>
          <w:rFonts w:ascii="Arial" w:eastAsia="Times New Roman" w:hAnsi="Arial" w:cs="Arial"/>
          <w:sz w:val="20"/>
          <w:szCs w:val="20"/>
          <w:u w:val="single"/>
          <w:lang w:val="en"/>
        </w:rPr>
      </w:pPr>
      <w:r w:rsidRPr="00B2280E">
        <w:rPr>
          <w:rFonts w:ascii="Arial" w:eastAsia="Times New Roman" w:hAnsi="Arial" w:cs="Arial"/>
          <w:b/>
          <w:bCs/>
          <w:sz w:val="20"/>
          <w:szCs w:val="20"/>
          <w:u w:val="single"/>
          <w:lang w:val="en"/>
        </w:rPr>
        <w:lastRenderedPageBreak/>
        <w:t>Summary of Changes</w:t>
      </w:r>
    </w:p>
    <w:p w14:paraId="5E84F49C" w14:textId="70862FDF" w:rsidR="00BC3FE6" w:rsidRPr="00B2280E" w:rsidRDefault="00BC3FE6" w:rsidP="00B2280E">
      <w:pPr>
        <w:pStyle w:val="NormalWeb"/>
        <w:spacing w:before="0" w:beforeAutospacing="0" w:after="0" w:afterAutospacing="0" w:line="276" w:lineRule="auto"/>
        <w:rPr>
          <w:rFonts w:ascii="Arial" w:hAnsi="Arial" w:cs="Arial"/>
          <w:sz w:val="20"/>
          <w:szCs w:val="20"/>
          <w:lang w:val="en"/>
        </w:rPr>
      </w:pPr>
      <w:r w:rsidRPr="00B2280E">
        <w:rPr>
          <w:rStyle w:val="Strong"/>
          <w:rFonts w:ascii="Arial" w:hAnsi="Arial" w:cs="Arial"/>
          <w:sz w:val="20"/>
          <w:szCs w:val="20"/>
          <w:lang w:val="en"/>
        </w:rPr>
        <w:t>v 5.0.0.0</w:t>
      </w:r>
    </w:p>
    <w:p w14:paraId="2DA8E75B" w14:textId="77777777" w:rsidR="00BC3FE6" w:rsidRPr="00B2280E" w:rsidRDefault="00BC3FE6" w:rsidP="00B2280E">
      <w:pPr>
        <w:numPr>
          <w:ilvl w:val="0"/>
          <w:numId w:val="3"/>
        </w:num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Update to AJCC Version 9 </w:t>
      </w:r>
      <w:proofErr w:type="spellStart"/>
      <w:r w:rsidRPr="00B2280E">
        <w:rPr>
          <w:rFonts w:ascii="Arial" w:eastAsia="Times New Roman" w:hAnsi="Arial" w:cs="Arial"/>
          <w:sz w:val="20"/>
          <w:szCs w:val="20"/>
          <w:lang w:val="en"/>
        </w:rPr>
        <w:t>pTNM</w:t>
      </w:r>
      <w:proofErr w:type="spellEnd"/>
      <w:r w:rsidRPr="00B2280E">
        <w:rPr>
          <w:rFonts w:ascii="Arial" w:eastAsia="Times New Roman" w:hAnsi="Arial" w:cs="Arial"/>
          <w:sz w:val="20"/>
          <w:szCs w:val="20"/>
          <w:lang w:val="en"/>
        </w:rPr>
        <w:t xml:space="preserve"> Staging Classifications</w:t>
      </w:r>
    </w:p>
    <w:p w14:paraId="43C04A00" w14:textId="77777777" w:rsidR="00BC3FE6" w:rsidRPr="00B2280E" w:rsidRDefault="00BC3FE6" w:rsidP="00B2280E">
      <w:pPr>
        <w:numPr>
          <w:ilvl w:val="0"/>
          <w:numId w:val="3"/>
        </w:num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WHO 5th Edition update to content and explanatory notes</w:t>
      </w:r>
    </w:p>
    <w:p w14:paraId="42E3C7D4" w14:textId="77777777" w:rsidR="00BC3FE6" w:rsidRPr="00B2280E" w:rsidRDefault="00BC3FE6" w:rsidP="00B2280E">
      <w:pPr>
        <w:numPr>
          <w:ilvl w:val="0"/>
          <w:numId w:val="3"/>
        </w:num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w:t>
      </w:r>
      <w:proofErr w:type="spellStart"/>
      <w:r w:rsidRPr="00B2280E">
        <w:rPr>
          <w:rFonts w:ascii="Arial" w:eastAsia="Times New Roman" w:hAnsi="Arial" w:cs="Arial"/>
          <w:sz w:val="20"/>
          <w:szCs w:val="20"/>
          <w:lang w:val="en"/>
        </w:rPr>
        <w:t>Lymphovascular</w:t>
      </w:r>
      <w:proofErr w:type="spellEnd"/>
      <w:r w:rsidRPr="00B2280E">
        <w:rPr>
          <w:rFonts w:ascii="Arial" w:eastAsia="Times New Roman" w:hAnsi="Arial" w:cs="Arial"/>
          <w:sz w:val="20"/>
          <w:szCs w:val="20"/>
          <w:lang w:val="en"/>
        </w:rPr>
        <w:t xml:space="preserve"> Invasion” question updated to “Lymphatic and/or Vascular </w:t>
      </w:r>
      <w:proofErr w:type="gramStart"/>
      <w:r w:rsidRPr="00B2280E">
        <w:rPr>
          <w:rFonts w:ascii="Arial" w:eastAsia="Times New Roman" w:hAnsi="Arial" w:cs="Arial"/>
          <w:sz w:val="20"/>
          <w:szCs w:val="20"/>
          <w:lang w:val="en"/>
        </w:rPr>
        <w:t>Invasion</w:t>
      </w:r>
      <w:proofErr w:type="gramEnd"/>
      <w:r w:rsidRPr="00B2280E">
        <w:rPr>
          <w:rFonts w:ascii="Arial" w:eastAsia="Times New Roman" w:hAnsi="Arial" w:cs="Arial"/>
          <w:sz w:val="20"/>
          <w:szCs w:val="20"/>
          <w:lang w:val="en"/>
        </w:rPr>
        <w:t>"</w:t>
      </w:r>
    </w:p>
    <w:p w14:paraId="3775E416" w14:textId="77777777" w:rsidR="00BC3FE6" w:rsidRPr="00B2280E" w:rsidRDefault="00BC3FE6" w:rsidP="00B2280E">
      <w:pPr>
        <w:spacing w:after="0" w:line="276" w:lineRule="auto"/>
        <w:rPr>
          <w:rFonts w:ascii="Arial" w:eastAsia="Times New Roman" w:hAnsi="Arial" w:cs="Arial"/>
          <w:sz w:val="20"/>
          <w:szCs w:val="20"/>
          <w:lang w:val="en"/>
        </w:rPr>
      </w:pPr>
    </w:p>
    <w:p w14:paraId="40BBF230" w14:textId="77777777" w:rsidR="00BC3FE6" w:rsidRPr="00B2280E" w:rsidRDefault="00BC3FE6" w:rsidP="00B2280E">
      <w:pPr>
        <w:pStyle w:val="NormalWeb"/>
        <w:spacing w:before="0" w:beforeAutospacing="0" w:after="0" w:afterAutospacing="0" w:line="276" w:lineRule="auto"/>
        <w:rPr>
          <w:rFonts w:ascii="Arial" w:hAnsi="Arial" w:cs="Arial"/>
          <w:sz w:val="20"/>
          <w:szCs w:val="20"/>
          <w:lang w:val="en"/>
        </w:rPr>
      </w:pPr>
    </w:p>
    <w:p w14:paraId="0546FF3F" w14:textId="77777777" w:rsidR="00BC3FE6" w:rsidRPr="00B2280E" w:rsidRDefault="00BC3FE6" w:rsidP="00B2280E">
      <w:pPr>
        <w:pageBreakBefore/>
        <w:pBdr>
          <w:bottom w:val="single" w:sz="2" w:space="1" w:color="000000"/>
        </w:pBd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lastRenderedPageBreak/>
        <w:t>Reporting Template</w:t>
      </w:r>
    </w:p>
    <w:p w14:paraId="0FBAC545"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Protocol Posting Date: December 2023 </w:t>
      </w:r>
    </w:p>
    <w:p w14:paraId="0B2E9015"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Select a single response unless otherwise indicated.</w:t>
      </w:r>
    </w:p>
    <w:p w14:paraId="145A28F5"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61E202BD"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CASE SUMMARY: (APPENDIX NEUROENDOCRINE TUMOR)  </w:t>
      </w:r>
    </w:p>
    <w:p w14:paraId="368FEE4B"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b/>
          <w:bCs/>
          <w:sz w:val="20"/>
          <w:szCs w:val="20"/>
          <w:lang w:val="en"/>
        </w:rPr>
        <w:t>Standard(s)</w:t>
      </w:r>
      <w:r w:rsidRPr="00B2280E">
        <w:rPr>
          <w:rFonts w:ascii="Arial" w:eastAsia="Times New Roman" w:hAnsi="Arial" w:cs="Arial"/>
          <w:sz w:val="20"/>
          <w:szCs w:val="20"/>
          <w:lang w:val="en"/>
        </w:rPr>
        <w:t xml:space="preserve">: AJCC-UICC 9 </w:t>
      </w:r>
    </w:p>
    <w:p w14:paraId="4AB580B9"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30180C01"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SPECIMEN  </w:t>
      </w:r>
    </w:p>
    <w:p w14:paraId="25915131"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52E47B93"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Procedure  </w:t>
      </w:r>
    </w:p>
    <w:p w14:paraId="226587C7"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Appendectomy  </w:t>
      </w:r>
    </w:p>
    <w:p w14:paraId="2C169AD0"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Right hemicolectomy  </w:t>
      </w:r>
    </w:p>
    <w:p w14:paraId="7A3DD5E8"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314415E6"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1C08F2B2"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TUMOR  </w:t>
      </w:r>
    </w:p>
    <w:p w14:paraId="1E535DD9"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7F4416BC"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Tumor Site (Note </w:t>
      </w:r>
      <w:hyperlink w:anchor="N9009" w:history="1">
        <w:r w:rsidRPr="00B2280E">
          <w:rPr>
            <w:rStyle w:val="Hyperlink"/>
            <w:rFonts w:ascii="Arial" w:eastAsia="Times New Roman" w:hAnsi="Arial" w:cs="Arial"/>
            <w:b/>
            <w:bCs/>
            <w:sz w:val="20"/>
            <w:szCs w:val="20"/>
            <w:lang w:val="en"/>
          </w:rPr>
          <w:t>A</w:t>
        </w:r>
      </w:hyperlink>
      <w:r w:rsidRPr="00B2280E">
        <w:rPr>
          <w:rFonts w:ascii="Arial" w:eastAsia="Times New Roman" w:hAnsi="Arial" w:cs="Arial"/>
          <w:b/>
          <w:bCs/>
          <w:sz w:val="20"/>
          <w:szCs w:val="20"/>
          <w:lang w:val="en"/>
        </w:rPr>
        <w:t xml:space="preserve">) </w:t>
      </w:r>
    </w:p>
    <w:p w14:paraId="72292062"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Proximal half of appendix: _________________ </w:t>
      </w:r>
    </w:p>
    <w:p w14:paraId="2ECC33A2"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Distal half of appendix: _________________ </w:t>
      </w:r>
    </w:p>
    <w:p w14:paraId="6AE59435"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Diffusely involving appendix: _________________ </w:t>
      </w:r>
    </w:p>
    <w:p w14:paraId="0473A49A"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Appendix, not otherwise specified: _________________ </w:t>
      </w:r>
    </w:p>
    <w:p w14:paraId="637E586C"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01131515"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541C850B"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Histologic Type and Grade# (Notes </w:t>
      </w:r>
      <w:hyperlink w:anchor="N9011" w:history="1">
        <w:r w:rsidRPr="00B2280E">
          <w:rPr>
            <w:rStyle w:val="Hyperlink"/>
            <w:rFonts w:ascii="Arial" w:eastAsia="Times New Roman" w:hAnsi="Arial" w:cs="Arial"/>
            <w:b/>
            <w:bCs/>
            <w:sz w:val="20"/>
            <w:szCs w:val="20"/>
            <w:lang w:val="en"/>
          </w:rPr>
          <w:t>B</w:t>
        </w:r>
      </w:hyperlink>
      <w:r w:rsidRPr="00B2280E">
        <w:rPr>
          <w:rFonts w:ascii="Arial" w:eastAsia="Times New Roman" w:hAnsi="Arial" w:cs="Arial"/>
          <w:b/>
          <w:bCs/>
          <w:sz w:val="20"/>
          <w:szCs w:val="20"/>
          <w:lang w:val="en"/>
        </w:rPr>
        <w:t>,</w:t>
      </w:r>
      <w:hyperlink w:anchor="N9012" w:history="1">
        <w:r w:rsidRPr="00B2280E">
          <w:rPr>
            <w:rStyle w:val="Hyperlink"/>
            <w:rFonts w:ascii="Arial" w:eastAsia="Times New Roman" w:hAnsi="Arial" w:cs="Arial"/>
            <w:b/>
            <w:bCs/>
            <w:sz w:val="20"/>
            <w:szCs w:val="20"/>
            <w:lang w:val="en"/>
          </w:rPr>
          <w:t>C</w:t>
        </w:r>
      </w:hyperlink>
      <w:r w:rsidRPr="00B2280E">
        <w:rPr>
          <w:rFonts w:ascii="Arial" w:eastAsia="Times New Roman" w:hAnsi="Arial" w:cs="Arial"/>
          <w:b/>
          <w:bCs/>
          <w:sz w:val="20"/>
          <w:szCs w:val="20"/>
          <w:lang w:val="en"/>
        </w:rPr>
        <w:t xml:space="preserve">) </w:t>
      </w:r>
    </w:p>
    <w:p w14:paraId="6528DC99" w14:textId="77777777" w:rsidR="00BC3FE6" w:rsidRPr="00B2280E" w:rsidRDefault="00BC3FE6" w:rsidP="00B2280E">
      <w:pPr>
        <w:spacing w:after="0" w:line="276" w:lineRule="auto"/>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 For poorly differentiated (high-grade) neuroendocrine carcinomas, the College of American Pathologists (CAP) checklist for carcinoma of the appendix should be used.  </w:t>
      </w:r>
    </w:p>
    <w:p w14:paraId="6BA3CA92"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G1, well-differentiated neuroendocrine tumor  </w:t>
      </w:r>
    </w:p>
    <w:p w14:paraId="059F3FF3"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G2, well-differentiated neuroendocrine tumor  </w:t>
      </w:r>
    </w:p>
    <w:p w14:paraId="4964F8F6"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G3, well-differentiated neuroendocrine tumor  </w:t>
      </w:r>
    </w:p>
    <w:p w14:paraId="41AFCB3C"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GX, grade cannot be </w:t>
      </w:r>
      <w:proofErr w:type="gramStart"/>
      <w:r w:rsidRPr="00B2280E">
        <w:rPr>
          <w:rFonts w:ascii="Arial" w:eastAsia="Times New Roman" w:hAnsi="Arial" w:cs="Arial"/>
          <w:sz w:val="20"/>
          <w:szCs w:val="20"/>
          <w:lang w:val="en"/>
        </w:rPr>
        <w:t>assessed</w:t>
      </w:r>
      <w:proofErr w:type="gramEnd"/>
      <w:r w:rsidRPr="00B2280E">
        <w:rPr>
          <w:rFonts w:ascii="Arial" w:eastAsia="Times New Roman" w:hAnsi="Arial" w:cs="Arial"/>
          <w:sz w:val="20"/>
          <w:szCs w:val="20"/>
          <w:lang w:val="en"/>
        </w:rPr>
        <w:t xml:space="preserve">  </w:t>
      </w:r>
    </w:p>
    <w:p w14:paraId="10149CC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01CF724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_________________ </w:t>
      </w:r>
    </w:p>
    <w:p w14:paraId="0E6014E4" w14:textId="77777777" w:rsidR="00BC3FE6" w:rsidRPr="00B2280E" w:rsidRDefault="00BC3FE6" w:rsidP="00B2280E">
      <w:pPr>
        <w:spacing w:after="0" w:line="276" w:lineRule="auto"/>
        <w:ind w:firstLine="240"/>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+Histologic Type and Grade Comment: _________________ </w:t>
      </w:r>
    </w:p>
    <w:p w14:paraId="170E356A"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Histologic Grade Determination (Note </w:t>
      </w:r>
      <w:hyperlink w:anchor="N9012" w:history="1">
        <w:r w:rsidRPr="00B2280E">
          <w:rPr>
            <w:rStyle w:val="Hyperlink"/>
            <w:rFonts w:ascii="Arial" w:eastAsia="Times New Roman" w:hAnsi="Arial" w:cs="Arial"/>
            <w:b/>
            <w:bCs/>
            <w:sz w:val="20"/>
            <w:szCs w:val="20"/>
            <w:lang w:val="en"/>
          </w:rPr>
          <w:t>C</w:t>
        </w:r>
      </w:hyperlink>
      <w:r w:rsidRPr="00B2280E">
        <w:rPr>
          <w:rFonts w:ascii="Arial" w:eastAsia="Times New Roman" w:hAnsi="Arial" w:cs="Arial"/>
          <w:b/>
          <w:bCs/>
          <w:sz w:val="20"/>
          <w:szCs w:val="20"/>
          <w:lang w:val="en"/>
        </w:rPr>
        <w:t xml:space="preserve">) </w:t>
      </w:r>
    </w:p>
    <w:p w14:paraId="1723F209" w14:textId="77777777" w:rsidR="00BC3FE6" w:rsidRPr="00B2280E" w:rsidRDefault="00BC3FE6" w:rsidP="00B2280E">
      <w:pPr>
        <w:spacing w:after="0" w:line="276" w:lineRule="auto"/>
        <w:ind w:firstLine="240"/>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Mitotic rate and / or Ki-67 labeling index is required to determine histologic </w:t>
      </w:r>
      <w:proofErr w:type="gramStart"/>
      <w:r w:rsidRPr="00B2280E">
        <w:rPr>
          <w:rFonts w:ascii="Arial" w:eastAsia="Times New Roman" w:hAnsi="Arial" w:cs="Arial"/>
          <w:i/>
          <w:iCs/>
          <w:sz w:val="16"/>
          <w:szCs w:val="16"/>
          <w:lang w:val="en"/>
        </w:rPr>
        <w:t>grade</w:t>
      </w:r>
      <w:proofErr w:type="gramEnd"/>
      <w:r w:rsidRPr="00B2280E">
        <w:rPr>
          <w:rFonts w:ascii="Arial" w:eastAsia="Times New Roman" w:hAnsi="Arial" w:cs="Arial"/>
          <w:i/>
          <w:iCs/>
          <w:sz w:val="16"/>
          <w:szCs w:val="16"/>
          <w:lang w:val="en"/>
        </w:rPr>
        <w:t xml:space="preserve">  </w:t>
      </w:r>
    </w:p>
    <w:p w14:paraId="59090488" w14:textId="77777777" w:rsidR="00BC3FE6" w:rsidRPr="00B2280E" w:rsidRDefault="00BC3FE6" w:rsidP="00B2280E">
      <w:pPr>
        <w:spacing w:after="0" w:line="276" w:lineRule="auto"/>
        <w:ind w:firstLine="240"/>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Mitotic Rate (required only when Ki-67 labeling index is not </w:t>
      </w:r>
      <w:proofErr w:type="gramStart"/>
      <w:r w:rsidRPr="00B2280E">
        <w:rPr>
          <w:rFonts w:ascii="Arial" w:eastAsia="Times New Roman" w:hAnsi="Arial" w:cs="Arial"/>
          <w:b/>
          <w:bCs/>
          <w:sz w:val="20"/>
          <w:szCs w:val="20"/>
          <w:lang w:val="en"/>
        </w:rPr>
        <w:t>reported)#</w:t>
      </w:r>
      <w:proofErr w:type="gramEnd"/>
      <w:r w:rsidRPr="00B2280E">
        <w:rPr>
          <w:rFonts w:ascii="Arial" w:eastAsia="Times New Roman" w:hAnsi="Arial" w:cs="Arial"/>
          <w:b/>
          <w:bCs/>
          <w:sz w:val="20"/>
          <w:szCs w:val="20"/>
          <w:lang w:val="en"/>
        </w:rPr>
        <w:t xml:space="preserve">  </w:t>
      </w:r>
    </w:p>
    <w:p w14:paraId="7096C6CA" w14:textId="77777777" w:rsidR="00BC3FE6" w:rsidRPr="00B2280E" w:rsidRDefault="00BC3FE6" w:rsidP="00B2280E">
      <w:pPr>
        <w:spacing w:after="0" w:line="276" w:lineRule="auto"/>
        <w:ind w:firstLine="240"/>
        <w:rPr>
          <w:rFonts w:ascii="Arial" w:eastAsia="Times New Roman" w:hAnsi="Arial" w:cs="Arial"/>
          <w:i/>
          <w:iCs/>
          <w:sz w:val="16"/>
          <w:szCs w:val="16"/>
          <w:lang w:val="en"/>
        </w:rPr>
      </w:pPr>
      <w:r w:rsidRPr="00B2280E">
        <w:rPr>
          <w:rFonts w:ascii="Arial" w:eastAsia="Times New Roman" w:hAnsi="Arial" w:cs="Arial"/>
          <w:i/>
          <w:iCs/>
          <w:sz w:val="16"/>
          <w:szCs w:val="16"/>
          <w:lang w:val="en"/>
        </w:rPr>
        <w:t># Mitotic rate should be reported as number of mitoses per 2 mm2, by evaluating at least 10 mm2 in the most</w:t>
      </w:r>
    </w:p>
    <w:p w14:paraId="36A31F06" w14:textId="77777777" w:rsidR="00BC3FE6" w:rsidRPr="00B2280E" w:rsidRDefault="00BC3FE6" w:rsidP="00B2280E">
      <w:pPr>
        <w:spacing w:after="0" w:line="276" w:lineRule="auto"/>
        <w:ind w:firstLine="240"/>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 mitotically active part of the tumor (e.g., if using a microscope with a field diameter of 0.55 mm, count 42 high</w:t>
      </w:r>
    </w:p>
    <w:p w14:paraId="271C69DA" w14:textId="77777777" w:rsidR="00BC3FE6" w:rsidRPr="00B2280E" w:rsidRDefault="00BC3FE6" w:rsidP="00B2280E">
      <w:pPr>
        <w:spacing w:after="0" w:line="276" w:lineRule="auto"/>
        <w:ind w:firstLine="240"/>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 power fields (10 mm2) and divide the resulting number of mitoses by 5 to determine the number of mitoses per </w:t>
      </w:r>
      <w:proofErr w:type="gramStart"/>
      <w:r w:rsidRPr="00B2280E">
        <w:rPr>
          <w:rFonts w:ascii="Arial" w:eastAsia="Times New Roman" w:hAnsi="Arial" w:cs="Arial"/>
          <w:i/>
          <w:iCs/>
          <w:sz w:val="16"/>
          <w:szCs w:val="16"/>
          <w:lang w:val="en"/>
        </w:rPr>
        <w:t>2</w:t>
      </w:r>
      <w:proofErr w:type="gramEnd"/>
    </w:p>
    <w:p w14:paraId="49FFB743" w14:textId="316C699D" w:rsidR="00BC3FE6" w:rsidRPr="00B2280E" w:rsidRDefault="00BC3FE6" w:rsidP="00B2280E">
      <w:pPr>
        <w:spacing w:after="0" w:line="276" w:lineRule="auto"/>
        <w:ind w:firstLine="240"/>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 mm2 needed to assign tumor grade).  </w:t>
      </w:r>
    </w:p>
    <w:p w14:paraId="722667B8"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(Ki-67 labeling index is reported)  </w:t>
      </w:r>
    </w:p>
    <w:p w14:paraId="4665EAA4"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___ Specify number of mitoses per 2 mm2: _________________ mitoses per 2 mm2</w:t>
      </w:r>
    </w:p>
    <w:p w14:paraId="4EE76587"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Less than 2 mitoses per 2 mm2  </w:t>
      </w:r>
    </w:p>
    <w:p w14:paraId="1E2EBE9E"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2 to 20 mitoses per 2 mm2  </w:t>
      </w:r>
    </w:p>
    <w:p w14:paraId="02536D52"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Greater than 20 mitoses per 2 mm2  </w:t>
      </w:r>
    </w:p>
    <w:p w14:paraId="5595A5EC"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(explain): _________________ </w:t>
      </w:r>
    </w:p>
    <w:p w14:paraId="05801693" w14:textId="77777777" w:rsidR="00BC3FE6" w:rsidRPr="00B2280E" w:rsidRDefault="00BC3FE6" w:rsidP="005402BC">
      <w:pPr>
        <w:spacing w:after="0" w:line="276" w:lineRule="auto"/>
        <w:rPr>
          <w:rFonts w:ascii="Arial" w:eastAsia="Times New Roman" w:hAnsi="Arial" w:cs="Arial"/>
          <w:b/>
          <w:bCs/>
          <w:sz w:val="20"/>
          <w:szCs w:val="20"/>
          <w:lang w:val="en"/>
        </w:rPr>
      </w:pPr>
    </w:p>
    <w:p w14:paraId="690B4559" w14:textId="6875AD23" w:rsidR="00BC3FE6" w:rsidRPr="00B2280E" w:rsidRDefault="00BC3FE6" w:rsidP="00B2280E">
      <w:pPr>
        <w:spacing w:after="0" w:line="276" w:lineRule="auto"/>
        <w:ind w:firstLine="240"/>
        <w:rPr>
          <w:rFonts w:ascii="Arial" w:eastAsia="Times New Roman" w:hAnsi="Arial" w:cs="Arial"/>
          <w:b/>
          <w:bCs/>
          <w:sz w:val="20"/>
          <w:szCs w:val="20"/>
          <w:lang w:val="en"/>
        </w:rPr>
      </w:pPr>
      <w:r w:rsidRPr="00B2280E">
        <w:rPr>
          <w:rFonts w:ascii="Arial" w:eastAsia="Times New Roman" w:hAnsi="Arial" w:cs="Arial"/>
          <w:b/>
          <w:bCs/>
          <w:sz w:val="20"/>
          <w:szCs w:val="20"/>
          <w:lang w:val="en"/>
        </w:rPr>
        <w:lastRenderedPageBreak/>
        <w:t xml:space="preserve">Ki-67 Labeling Index (required only when mitotic rate is not reported)  </w:t>
      </w:r>
    </w:p>
    <w:p w14:paraId="7070466A"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(mitotic rate is reported)  </w:t>
      </w:r>
    </w:p>
    <w:p w14:paraId="1E4A3D9B"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___ Specify Ki-67 percentage: _________________ %</w:t>
      </w:r>
    </w:p>
    <w:p w14:paraId="212A28C5"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Less than 3%  </w:t>
      </w:r>
    </w:p>
    <w:p w14:paraId="696ACFA7"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3% to 20%  </w:t>
      </w:r>
    </w:p>
    <w:p w14:paraId="41AD1B73"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Greater than 20%  </w:t>
      </w:r>
    </w:p>
    <w:p w14:paraId="2902E631"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(explain): _________________ </w:t>
      </w:r>
    </w:p>
    <w:p w14:paraId="6F45B05A"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5F8B62A1"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Tumor Size (Note </w:t>
      </w:r>
      <w:hyperlink w:anchor="N9010" w:history="1">
        <w:r w:rsidRPr="00B2280E">
          <w:rPr>
            <w:rStyle w:val="Hyperlink"/>
            <w:rFonts w:ascii="Arial" w:eastAsia="Times New Roman" w:hAnsi="Arial" w:cs="Arial"/>
            <w:b/>
            <w:bCs/>
            <w:sz w:val="20"/>
            <w:szCs w:val="20"/>
            <w:lang w:val="en"/>
          </w:rPr>
          <w:t>D</w:t>
        </w:r>
      </w:hyperlink>
      <w:r w:rsidRPr="00B2280E">
        <w:rPr>
          <w:rFonts w:ascii="Arial" w:eastAsia="Times New Roman" w:hAnsi="Arial" w:cs="Arial"/>
          <w:b/>
          <w:bCs/>
          <w:sz w:val="20"/>
          <w:szCs w:val="20"/>
          <w:lang w:val="en"/>
        </w:rPr>
        <w:t xml:space="preserve">) </w:t>
      </w:r>
    </w:p>
    <w:p w14:paraId="0153B71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___ Greatest dimension in Centimeters (cm): _________________ cm</w:t>
      </w:r>
    </w:p>
    <w:p w14:paraId="03A3F02F" w14:textId="77777777" w:rsidR="00BC3FE6" w:rsidRPr="00B2280E" w:rsidRDefault="00BC3FE6" w:rsidP="00B2280E">
      <w:pPr>
        <w:spacing w:after="0" w:line="276" w:lineRule="auto"/>
        <w:ind w:firstLine="240"/>
        <w:rPr>
          <w:rFonts w:ascii="Arial" w:eastAsia="Times New Roman" w:hAnsi="Arial" w:cs="Arial"/>
          <w:b/>
          <w:bCs/>
          <w:sz w:val="20"/>
          <w:szCs w:val="20"/>
          <w:lang w:val="en"/>
        </w:rPr>
      </w:pPr>
      <w:r w:rsidRPr="00B2280E">
        <w:rPr>
          <w:rFonts w:ascii="Arial" w:eastAsia="Times New Roman" w:hAnsi="Arial" w:cs="Arial"/>
          <w:b/>
          <w:bCs/>
          <w:sz w:val="20"/>
          <w:szCs w:val="20"/>
          <w:lang w:val="en"/>
        </w:rPr>
        <w:t>+Additional Dimension in Centimeters (cm): ____ x ____ cm</w:t>
      </w:r>
    </w:p>
    <w:p w14:paraId="4341F41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(explain): _________________ </w:t>
      </w:r>
    </w:p>
    <w:p w14:paraId="543E2AD2"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6FFD9CAB"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Tumor Extent  </w:t>
      </w:r>
    </w:p>
    <w:p w14:paraId="6F7038EA"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Invades lamina </w:t>
      </w:r>
      <w:proofErr w:type="gramStart"/>
      <w:r w:rsidRPr="00B2280E">
        <w:rPr>
          <w:rFonts w:ascii="Arial" w:eastAsia="Times New Roman" w:hAnsi="Arial" w:cs="Arial"/>
          <w:sz w:val="20"/>
          <w:szCs w:val="20"/>
          <w:lang w:val="en"/>
        </w:rPr>
        <w:t>propria</w:t>
      </w:r>
      <w:proofErr w:type="gramEnd"/>
      <w:r w:rsidRPr="00B2280E">
        <w:rPr>
          <w:rFonts w:ascii="Arial" w:eastAsia="Times New Roman" w:hAnsi="Arial" w:cs="Arial"/>
          <w:sz w:val="20"/>
          <w:szCs w:val="20"/>
          <w:lang w:val="en"/>
        </w:rPr>
        <w:t xml:space="preserve">  </w:t>
      </w:r>
    </w:p>
    <w:p w14:paraId="3F445F52"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Invades </w:t>
      </w:r>
      <w:proofErr w:type="gramStart"/>
      <w:r w:rsidRPr="00B2280E">
        <w:rPr>
          <w:rFonts w:ascii="Arial" w:eastAsia="Times New Roman" w:hAnsi="Arial" w:cs="Arial"/>
          <w:sz w:val="20"/>
          <w:szCs w:val="20"/>
          <w:lang w:val="en"/>
        </w:rPr>
        <w:t>submucosa</w:t>
      </w:r>
      <w:proofErr w:type="gramEnd"/>
      <w:r w:rsidRPr="00B2280E">
        <w:rPr>
          <w:rFonts w:ascii="Arial" w:eastAsia="Times New Roman" w:hAnsi="Arial" w:cs="Arial"/>
          <w:sz w:val="20"/>
          <w:szCs w:val="20"/>
          <w:lang w:val="en"/>
        </w:rPr>
        <w:t xml:space="preserve">  </w:t>
      </w:r>
    </w:p>
    <w:p w14:paraId="3D099F6F"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Invades muscularis </w:t>
      </w:r>
      <w:proofErr w:type="gramStart"/>
      <w:r w:rsidRPr="00B2280E">
        <w:rPr>
          <w:rFonts w:ascii="Arial" w:eastAsia="Times New Roman" w:hAnsi="Arial" w:cs="Arial"/>
          <w:sz w:val="20"/>
          <w:szCs w:val="20"/>
          <w:lang w:val="en"/>
        </w:rPr>
        <w:t>propria</w:t>
      </w:r>
      <w:proofErr w:type="gramEnd"/>
      <w:r w:rsidRPr="00B2280E">
        <w:rPr>
          <w:rFonts w:ascii="Arial" w:eastAsia="Times New Roman" w:hAnsi="Arial" w:cs="Arial"/>
          <w:sz w:val="20"/>
          <w:szCs w:val="20"/>
          <w:lang w:val="en"/>
        </w:rPr>
        <w:t xml:space="preserve">  </w:t>
      </w:r>
    </w:p>
    <w:p w14:paraId="35364C94"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Invades subserosa or mesoappendix without involvement of visceral </w:t>
      </w:r>
      <w:proofErr w:type="gramStart"/>
      <w:r w:rsidRPr="00B2280E">
        <w:rPr>
          <w:rFonts w:ascii="Arial" w:eastAsia="Times New Roman" w:hAnsi="Arial" w:cs="Arial"/>
          <w:sz w:val="20"/>
          <w:szCs w:val="20"/>
          <w:lang w:val="en"/>
        </w:rPr>
        <w:t>peritoneum</w:t>
      </w:r>
      <w:proofErr w:type="gramEnd"/>
      <w:r w:rsidRPr="00B2280E">
        <w:rPr>
          <w:rFonts w:ascii="Arial" w:eastAsia="Times New Roman" w:hAnsi="Arial" w:cs="Arial"/>
          <w:sz w:val="20"/>
          <w:szCs w:val="20"/>
          <w:lang w:val="en"/>
        </w:rPr>
        <w:t xml:space="preserve">  </w:t>
      </w:r>
    </w:p>
    <w:p w14:paraId="7F2488C7"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Perforates visceral peritoneum (serosa)  </w:t>
      </w:r>
    </w:p>
    <w:p w14:paraId="37A03148"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Directly invades other adjacent organ(s) or structure(s) (e.g., abdominal wall, skeletal muscle) excluding direct mural extension to adjacent subserosa of adjacent bowel (specify): _________________ </w:t>
      </w:r>
    </w:p>
    <w:p w14:paraId="178F5BB8"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_________________ </w:t>
      </w:r>
    </w:p>
    <w:p w14:paraId="71BE5D0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 evidence of primary tumor  </w:t>
      </w:r>
    </w:p>
    <w:p w14:paraId="2F040F24"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49C5AF12"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Lymphatic and / or Vascular Invasion  </w:t>
      </w:r>
    </w:p>
    <w:p w14:paraId="3FDA1AF5"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w:t>
      </w:r>
      <w:proofErr w:type="gramStart"/>
      <w:r w:rsidRPr="00B2280E">
        <w:rPr>
          <w:rFonts w:ascii="Arial" w:eastAsia="Times New Roman" w:hAnsi="Arial" w:cs="Arial"/>
          <w:sz w:val="20"/>
          <w:szCs w:val="20"/>
          <w:lang w:val="en"/>
        </w:rPr>
        <w:t>identified</w:t>
      </w:r>
      <w:proofErr w:type="gramEnd"/>
      <w:r w:rsidRPr="00B2280E">
        <w:rPr>
          <w:rFonts w:ascii="Arial" w:eastAsia="Times New Roman" w:hAnsi="Arial" w:cs="Arial"/>
          <w:sz w:val="20"/>
          <w:szCs w:val="20"/>
          <w:lang w:val="en"/>
        </w:rPr>
        <w:t xml:space="preserve">  </w:t>
      </w:r>
    </w:p>
    <w:p w14:paraId="2D49058B"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Present  </w:t>
      </w:r>
    </w:p>
    <w:p w14:paraId="6566657C"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_________________ </w:t>
      </w:r>
    </w:p>
    <w:p w14:paraId="24502489"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3196511F"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+Perineural Invasion  </w:t>
      </w:r>
    </w:p>
    <w:p w14:paraId="6EB2D253"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w:t>
      </w:r>
      <w:proofErr w:type="gramStart"/>
      <w:r w:rsidRPr="00B2280E">
        <w:rPr>
          <w:rFonts w:ascii="Arial" w:eastAsia="Times New Roman" w:hAnsi="Arial" w:cs="Arial"/>
          <w:sz w:val="20"/>
          <w:szCs w:val="20"/>
          <w:lang w:val="en"/>
        </w:rPr>
        <w:t>identified</w:t>
      </w:r>
      <w:proofErr w:type="gramEnd"/>
      <w:r w:rsidRPr="00B2280E">
        <w:rPr>
          <w:rFonts w:ascii="Arial" w:eastAsia="Times New Roman" w:hAnsi="Arial" w:cs="Arial"/>
          <w:sz w:val="20"/>
          <w:szCs w:val="20"/>
          <w:lang w:val="en"/>
        </w:rPr>
        <w:t xml:space="preserve">  </w:t>
      </w:r>
    </w:p>
    <w:p w14:paraId="5D3B9F9B"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Present  </w:t>
      </w:r>
    </w:p>
    <w:p w14:paraId="5366D50C"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_________________ </w:t>
      </w:r>
    </w:p>
    <w:p w14:paraId="2B082219"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7210F2C5"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+Tumor Comment: _________________ </w:t>
      </w:r>
    </w:p>
    <w:p w14:paraId="0F3E59AB"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6602B063"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MARGINS (Note </w:t>
      </w:r>
      <w:hyperlink w:anchor="N9013" w:history="1">
        <w:r w:rsidRPr="00B2280E">
          <w:rPr>
            <w:rStyle w:val="Hyperlink"/>
            <w:rFonts w:ascii="Arial" w:eastAsia="Times New Roman" w:hAnsi="Arial" w:cs="Arial"/>
            <w:b/>
            <w:bCs/>
            <w:sz w:val="20"/>
            <w:szCs w:val="20"/>
            <w:lang w:val="en"/>
          </w:rPr>
          <w:t>E</w:t>
        </w:r>
      </w:hyperlink>
      <w:r w:rsidRPr="00B2280E">
        <w:rPr>
          <w:rFonts w:ascii="Arial" w:eastAsia="Times New Roman" w:hAnsi="Arial" w:cs="Arial"/>
          <w:b/>
          <w:bCs/>
          <w:sz w:val="20"/>
          <w:szCs w:val="20"/>
          <w:lang w:val="en"/>
        </w:rPr>
        <w:t xml:space="preserve">) </w:t>
      </w:r>
    </w:p>
    <w:p w14:paraId="1035B9CF"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7825E6A1"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Margin Status  </w:t>
      </w:r>
    </w:p>
    <w:p w14:paraId="610DA3AD"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All margins negative for </w:t>
      </w:r>
      <w:proofErr w:type="gramStart"/>
      <w:r w:rsidRPr="00B2280E">
        <w:rPr>
          <w:rFonts w:ascii="Arial" w:eastAsia="Times New Roman" w:hAnsi="Arial" w:cs="Arial"/>
          <w:sz w:val="20"/>
          <w:szCs w:val="20"/>
          <w:lang w:val="en"/>
        </w:rPr>
        <w:t>tumor</w:t>
      </w:r>
      <w:proofErr w:type="gramEnd"/>
      <w:r w:rsidRPr="00B2280E">
        <w:rPr>
          <w:rFonts w:ascii="Arial" w:eastAsia="Times New Roman" w:hAnsi="Arial" w:cs="Arial"/>
          <w:sz w:val="20"/>
          <w:szCs w:val="20"/>
          <w:lang w:val="en"/>
        </w:rPr>
        <w:t xml:space="preserve">  </w:t>
      </w:r>
    </w:p>
    <w:p w14:paraId="634D00FB" w14:textId="3E43A5D3" w:rsidR="00BC3FE6" w:rsidRPr="00B2280E" w:rsidRDefault="00BC3FE6" w:rsidP="00B2280E">
      <w:pPr>
        <w:spacing w:after="0" w:line="276" w:lineRule="auto"/>
        <w:ind w:firstLine="240"/>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+Closest Margin(s) to Tumor (select all that apply) </w:t>
      </w:r>
    </w:p>
    <w:p w14:paraId="1C2B94EC"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Proximal: _________________ </w:t>
      </w:r>
    </w:p>
    <w:p w14:paraId="4EFCDF40"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Distal: _________________ </w:t>
      </w:r>
    </w:p>
    <w:p w14:paraId="560D78F5"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Radial: _________________ </w:t>
      </w:r>
    </w:p>
    <w:p w14:paraId="5DE63F9F"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Mesenteric: _________________ </w:t>
      </w:r>
    </w:p>
    <w:p w14:paraId="652390D3"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2077D53B"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lastRenderedPageBreak/>
        <w:t xml:space="preserve">___ Cannot be determined: _________________ </w:t>
      </w:r>
    </w:p>
    <w:p w14:paraId="6771615A" w14:textId="77777777" w:rsidR="00BC3FE6" w:rsidRPr="00B2280E" w:rsidRDefault="00BC3FE6" w:rsidP="00B2280E">
      <w:pPr>
        <w:spacing w:after="0" w:line="276" w:lineRule="auto"/>
        <w:ind w:firstLine="240"/>
        <w:rPr>
          <w:rFonts w:ascii="Arial" w:eastAsia="Times New Roman" w:hAnsi="Arial" w:cs="Arial"/>
          <w:b/>
          <w:bCs/>
          <w:sz w:val="20"/>
          <w:szCs w:val="20"/>
          <w:lang w:val="en"/>
        </w:rPr>
      </w:pPr>
    </w:p>
    <w:p w14:paraId="303C0576" w14:textId="1DEEA660" w:rsidR="00BC3FE6" w:rsidRPr="00B2280E" w:rsidRDefault="00BC3FE6" w:rsidP="00B2280E">
      <w:pPr>
        <w:spacing w:after="0" w:line="276" w:lineRule="auto"/>
        <w:ind w:firstLine="240"/>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+Distance from Tumor to Closest Margin  </w:t>
      </w:r>
    </w:p>
    <w:p w14:paraId="09AA4F38" w14:textId="77777777" w:rsidR="00BC3FE6" w:rsidRPr="00B2280E" w:rsidRDefault="00BC3FE6" w:rsidP="00B2280E">
      <w:pPr>
        <w:spacing w:after="0" w:line="276" w:lineRule="auto"/>
        <w:ind w:firstLine="240"/>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Specify in Centimeters (cm)  </w:t>
      </w:r>
    </w:p>
    <w:p w14:paraId="65ADD888"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___ Exact distance in cm: _________________ cm</w:t>
      </w:r>
    </w:p>
    <w:p w14:paraId="5958B44B"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Greater than 1 cm  </w:t>
      </w:r>
    </w:p>
    <w:p w14:paraId="3B0987C0" w14:textId="77777777" w:rsidR="00BC3FE6" w:rsidRPr="00B2280E" w:rsidRDefault="00BC3FE6" w:rsidP="00B2280E">
      <w:pPr>
        <w:spacing w:after="0" w:line="276" w:lineRule="auto"/>
        <w:ind w:firstLine="240"/>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Specify in Millimeters (mm)  </w:t>
      </w:r>
    </w:p>
    <w:p w14:paraId="77A996CE"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___ Exact distance in mm: _________________ mm</w:t>
      </w:r>
    </w:p>
    <w:p w14:paraId="400B56AB"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Greater than 10 mm  </w:t>
      </w:r>
    </w:p>
    <w:p w14:paraId="0E08C573" w14:textId="77777777" w:rsidR="00BC3FE6" w:rsidRPr="00B2280E" w:rsidRDefault="00BC3FE6" w:rsidP="00B2280E">
      <w:pPr>
        <w:spacing w:after="0" w:line="276" w:lineRule="auto"/>
        <w:ind w:firstLine="240"/>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Other  </w:t>
      </w:r>
    </w:p>
    <w:p w14:paraId="018B92C4"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628A0F57"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_________________ </w:t>
      </w:r>
    </w:p>
    <w:p w14:paraId="657B67E7"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w:t>
      </w:r>
      <w:proofErr w:type="gramStart"/>
      <w:r w:rsidRPr="00B2280E">
        <w:rPr>
          <w:rFonts w:ascii="Arial" w:eastAsia="Times New Roman" w:hAnsi="Arial" w:cs="Arial"/>
          <w:sz w:val="20"/>
          <w:szCs w:val="20"/>
          <w:lang w:val="en"/>
        </w:rPr>
        <w:t>Tumor</w:t>
      </w:r>
      <w:proofErr w:type="gramEnd"/>
      <w:r w:rsidRPr="00B2280E">
        <w:rPr>
          <w:rFonts w:ascii="Arial" w:eastAsia="Times New Roman" w:hAnsi="Arial" w:cs="Arial"/>
          <w:sz w:val="20"/>
          <w:szCs w:val="20"/>
          <w:lang w:val="en"/>
        </w:rPr>
        <w:t xml:space="preserve"> present at margin  </w:t>
      </w:r>
    </w:p>
    <w:p w14:paraId="4A4DF26B" w14:textId="7117EF49" w:rsidR="00BC3FE6" w:rsidRPr="00B2280E" w:rsidRDefault="00BC3FE6" w:rsidP="00B2280E">
      <w:pPr>
        <w:spacing w:after="0" w:line="276" w:lineRule="auto"/>
        <w:ind w:firstLine="240"/>
        <w:rPr>
          <w:rFonts w:ascii="Arial" w:eastAsia="Times New Roman" w:hAnsi="Arial" w:cs="Arial"/>
          <w:b/>
          <w:bCs/>
          <w:sz w:val="20"/>
          <w:szCs w:val="20"/>
          <w:lang w:val="en"/>
        </w:rPr>
      </w:pPr>
      <w:r w:rsidRPr="00B2280E">
        <w:rPr>
          <w:rFonts w:ascii="Arial" w:eastAsia="Times New Roman" w:hAnsi="Arial" w:cs="Arial"/>
          <w:b/>
          <w:bCs/>
          <w:sz w:val="20"/>
          <w:szCs w:val="20"/>
          <w:lang w:val="en"/>
        </w:rPr>
        <w:t>Margin(s) Involved by Tumo</w:t>
      </w:r>
      <w:r w:rsidR="00B2280E">
        <w:rPr>
          <w:rFonts w:ascii="Arial" w:eastAsia="Times New Roman" w:hAnsi="Arial" w:cs="Arial"/>
          <w:b/>
          <w:bCs/>
          <w:sz w:val="20"/>
          <w:szCs w:val="20"/>
          <w:lang w:val="en"/>
        </w:rPr>
        <w:t>r</w:t>
      </w:r>
      <w:r w:rsidRPr="00B2280E">
        <w:rPr>
          <w:rFonts w:ascii="Arial" w:eastAsia="Times New Roman" w:hAnsi="Arial" w:cs="Arial"/>
          <w:b/>
          <w:bCs/>
          <w:sz w:val="20"/>
          <w:szCs w:val="20"/>
          <w:lang w:val="en"/>
        </w:rPr>
        <w:t xml:space="preserve"> (select all that apply) </w:t>
      </w:r>
    </w:p>
    <w:p w14:paraId="2B59C31F"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Proximal: _________________ </w:t>
      </w:r>
    </w:p>
    <w:p w14:paraId="2D9F4458"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Distal: _________________ </w:t>
      </w:r>
    </w:p>
    <w:p w14:paraId="520DB3C4"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Radial: _________________ </w:t>
      </w:r>
    </w:p>
    <w:p w14:paraId="72B65133"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Mesenteric: _________________ </w:t>
      </w:r>
    </w:p>
    <w:p w14:paraId="5755FA0D"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1866AD8D"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_________________ </w:t>
      </w:r>
    </w:p>
    <w:p w14:paraId="361CB21F"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05EA1613"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(explain): _________________ </w:t>
      </w:r>
    </w:p>
    <w:p w14:paraId="005D7CF8"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w:t>
      </w:r>
    </w:p>
    <w:p w14:paraId="1D8FF410"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3692C59C"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+Margin Comment: _________________ </w:t>
      </w:r>
    </w:p>
    <w:p w14:paraId="37B3B196"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03B09F03"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REGIONAL LYMPH NODES  </w:t>
      </w:r>
    </w:p>
    <w:p w14:paraId="29D0EF90"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4F832700"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Regional Lymph Node Status  </w:t>
      </w:r>
    </w:p>
    <w:p w14:paraId="757C13F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(no regional lymph nodes submitted or found)  </w:t>
      </w:r>
    </w:p>
    <w:p w14:paraId="341723A8"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Regional lymph nodes present  </w:t>
      </w:r>
    </w:p>
    <w:p w14:paraId="76BFA298"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All regional lymph nodes negative for </w:t>
      </w:r>
      <w:proofErr w:type="gramStart"/>
      <w:r w:rsidRPr="00B2280E">
        <w:rPr>
          <w:rFonts w:ascii="Arial" w:eastAsia="Times New Roman" w:hAnsi="Arial" w:cs="Arial"/>
          <w:sz w:val="20"/>
          <w:szCs w:val="20"/>
          <w:lang w:val="en"/>
        </w:rPr>
        <w:t>tumor</w:t>
      </w:r>
      <w:proofErr w:type="gramEnd"/>
      <w:r w:rsidRPr="00B2280E">
        <w:rPr>
          <w:rFonts w:ascii="Arial" w:eastAsia="Times New Roman" w:hAnsi="Arial" w:cs="Arial"/>
          <w:sz w:val="20"/>
          <w:szCs w:val="20"/>
          <w:lang w:val="en"/>
        </w:rPr>
        <w:t xml:space="preserve">  </w:t>
      </w:r>
    </w:p>
    <w:p w14:paraId="30CD94C2"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w:t>
      </w:r>
      <w:proofErr w:type="gramStart"/>
      <w:r w:rsidRPr="00B2280E">
        <w:rPr>
          <w:rFonts w:ascii="Arial" w:eastAsia="Times New Roman" w:hAnsi="Arial" w:cs="Arial"/>
          <w:sz w:val="20"/>
          <w:szCs w:val="20"/>
          <w:lang w:val="en"/>
        </w:rPr>
        <w:t>Tumor</w:t>
      </w:r>
      <w:proofErr w:type="gramEnd"/>
      <w:r w:rsidRPr="00B2280E">
        <w:rPr>
          <w:rFonts w:ascii="Arial" w:eastAsia="Times New Roman" w:hAnsi="Arial" w:cs="Arial"/>
          <w:sz w:val="20"/>
          <w:szCs w:val="20"/>
          <w:lang w:val="en"/>
        </w:rPr>
        <w:t xml:space="preserve"> present in regional lymph node(s)  </w:t>
      </w:r>
    </w:p>
    <w:p w14:paraId="59D0B3E9" w14:textId="77777777" w:rsidR="00BC3FE6" w:rsidRPr="00B2280E" w:rsidRDefault="00BC3FE6" w:rsidP="00B2280E">
      <w:pPr>
        <w:spacing w:after="0" w:line="276" w:lineRule="auto"/>
        <w:ind w:firstLine="480"/>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Number of Lymph Nodes with Tumor  </w:t>
      </w:r>
    </w:p>
    <w:p w14:paraId="3692DEE4" w14:textId="77777777" w:rsidR="00BC3FE6" w:rsidRPr="00B2280E" w:rsidRDefault="00BC3FE6" w:rsidP="00B2280E">
      <w:pPr>
        <w:spacing w:after="0" w:line="276" w:lineRule="auto"/>
        <w:ind w:firstLine="480"/>
        <w:rPr>
          <w:rFonts w:ascii="Arial" w:eastAsia="Times New Roman" w:hAnsi="Arial" w:cs="Arial"/>
          <w:sz w:val="20"/>
          <w:szCs w:val="20"/>
          <w:lang w:val="en"/>
        </w:rPr>
      </w:pPr>
      <w:r w:rsidRPr="00B2280E">
        <w:rPr>
          <w:rFonts w:ascii="Arial" w:eastAsia="Times New Roman" w:hAnsi="Arial" w:cs="Arial"/>
          <w:sz w:val="20"/>
          <w:szCs w:val="20"/>
          <w:lang w:val="en"/>
        </w:rPr>
        <w:t xml:space="preserve">___ Exact number (specify): _________________ </w:t>
      </w:r>
    </w:p>
    <w:p w14:paraId="3B7DA439" w14:textId="77777777" w:rsidR="00BC3FE6" w:rsidRPr="00B2280E" w:rsidRDefault="00BC3FE6" w:rsidP="00B2280E">
      <w:pPr>
        <w:spacing w:after="0" w:line="276" w:lineRule="auto"/>
        <w:ind w:firstLine="480"/>
        <w:rPr>
          <w:rFonts w:ascii="Arial" w:eastAsia="Times New Roman" w:hAnsi="Arial" w:cs="Arial"/>
          <w:sz w:val="20"/>
          <w:szCs w:val="20"/>
          <w:lang w:val="en"/>
        </w:rPr>
      </w:pPr>
      <w:r w:rsidRPr="00B2280E">
        <w:rPr>
          <w:rFonts w:ascii="Arial" w:eastAsia="Times New Roman" w:hAnsi="Arial" w:cs="Arial"/>
          <w:sz w:val="20"/>
          <w:szCs w:val="20"/>
          <w:lang w:val="en"/>
        </w:rPr>
        <w:t xml:space="preserve">___ At least (specify): _________________ </w:t>
      </w:r>
    </w:p>
    <w:p w14:paraId="5E11FEEA" w14:textId="77777777" w:rsidR="00BC3FE6" w:rsidRPr="00B2280E" w:rsidRDefault="00BC3FE6" w:rsidP="00B2280E">
      <w:pPr>
        <w:spacing w:after="0" w:line="276" w:lineRule="auto"/>
        <w:ind w:firstLine="480"/>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736D3989" w14:textId="77777777" w:rsidR="00BC3FE6" w:rsidRPr="00B2280E" w:rsidRDefault="00BC3FE6" w:rsidP="00B2280E">
      <w:pPr>
        <w:spacing w:after="0" w:line="276" w:lineRule="auto"/>
        <w:ind w:firstLine="480"/>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(explain): _________________ </w:t>
      </w:r>
    </w:p>
    <w:p w14:paraId="40453781"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3A6F17B8"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(explain): _________________ </w:t>
      </w:r>
    </w:p>
    <w:p w14:paraId="52EDCF1A" w14:textId="77777777" w:rsidR="00BC3FE6" w:rsidRPr="00B2280E" w:rsidRDefault="00BC3FE6" w:rsidP="00B2280E">
      <w:pPr>
        <w:spacing w:after="0" w:line="276" w:lineRule="auto"/>
        <w:ind w:firstLine="240"/>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Number of Lymph Nodes Examined  </w:t>
      </w:r>
    </w:p>
    <w:p w14:paraId="082EE972"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Exact number (specify): _________________ </w:t>
      </w:r>
    </w:p>
    <w:p w14:paraId="0ABE7B75"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At least (specify): _________________ </w:t>
      </w:r>
    </w:p>
    <w:p w14:paraId="4892DE17"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455F0719" w14:textId="77777777" w:rsidR="00BC3FE6" w:rsidRPr="00B2280E" w:rsidRDefault="00BC3FE6" w:rsidP="00B2280E">
      <w:pPr>
        <w:spacing w:after="0" w:line="276" w:lineRule="auto"/>
        <w:ind w:firstLine="240"/>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(explain): _________________ </w:t>
      </w:r>
    </w:p>
    <w:p w14:paraId="69A035C0"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2C4C58BC" w14:textId="77777777" w:rsidR="005402BC" w:rsidRDefault="005402BC">
      <w:pPr>
        <w:rPr>
          <w:rFonts w:ascii="Arial" w:eastAsia="Times New Roman" w:hAnsi="Arial" w:cs="Arial"/>
          <w:b/>
          <w:bCs/>
          <w:sz w:val="20"/>
          <w:szCs w:val="20"/>
          <w:lang w:val="en"/>
        </w:rPr>
      </w:pPr>
      <w:r>
        <w:rPr>
          <w:rFonts w:ascii="Arial" w:eastAsia="Times New Roman" w:hAnsi="Arial" w:cs="Arial"/>
          <w:b/>
          <w:bCs/>
          <w:sz w:val="20"/>
          <w:szCs w:val="20"/>
          <w:lang w:val="en"/>
        </w:rPr>
        <w:br w:type="page"/>
      </w:r>
    </w:p>
    <w:p w14:paraId="423B07A0" w14:textId="5DBCBA85"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lastRenderedPageBreak/>
        <w:t xml:space="preserve">+Regional Lymph Node Comment: _________________ </w:t>
      </w:r>
    </w:p>
    <w:p w14:paraId="5265CB6A" w14:textId="77777777" w:rsidR="00BC3FE6" w:rsidRPr="00B2280E" w:rsidRDefault="00BC3FE6" w:rsidP="00B2280E">
      <w:pPr>
        <w:spacing w:after="0" w:line="276" w:lineRule="auto"/>
        <w:rPr>
          <w:rFonts w:ascii="Arial" w:eastAsia="Times New Roman" w:hAnsi="Arial" w:cs="Arial"/>
          <w:b/>
          <w:bCs/>
          <w:sz w:val="20"/>
          <w:szCs w:val="20"/>
          <w:lang w:val="en"/>
        </w:rPr>
      </w:pPr>
    </w:p>
    <w:p w14:paraId="3ED4DF78" w14:textId="5C0BF93F"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DISTANT METASTASIS  </w:t>
      </w:r>
    </w:p>
    <w:p w14:paraId="078DD058"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667E79F6" w14:textId="57F2954F"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Distant Site(s) Involved, if </w:t>
      </w:r>
      <w:r w:rsidR="00B2280E" w:rsidRPr="00B2280E">
        <w:rPr>
          <w:rFonts w:ascii="Arial" w:eastAsia="Times New Roman" w:hAnsi="Arial" w:cs="Arial"/>
          <w:b/>
          <w:bCs/>
          <w:sz w:val="20"/>
          <w:szCs w:val="20"/>
          <w:lang w:val="en"/>
        </w:rPr>
        <w:t>applicable (</w:t>
      </w:r>
      <w:r w:rsidRPr="00B2280E">
        <w:rPr>
          <w:rFonts w:ascii="Arial" w:eastAsia="Times New Roman" w:hAnsi="Arial" w:cs="Arial"/>
          <w:b/>
          <w:bCs/>
          <w:sz w:val="20"/>
          <w:szCs w:val="20"/>
          <w:lang w:val="en"/>
        </w:rPr>
        <w:t xml:space="preserve">select all that apply) </w:t>
      </w:r>
    </w:p>
    <w:p w14:paraId="1D19C2D6"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w:t>
      </w:r>
    </w:p>
    <w:p w14:paraId="005457E0"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Liver: _________________ </w:t>
      </w:r>
    </w:p>
    <w:p w14:paraId="3EBBCE78"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Lung: _________________ </w:t>
      </w:r>
    </w:p>
    <w:p w14:paraId="45EC9DDF"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Ovary: _________________ </w:t>
      </w:r>
    </w:p>
    <w:p w14:paraId="217158CB"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Nonregional lymph node(s): _________________ </w:t>
      </w:r>
    </w:p>
    <w:p w14:paraId="146822FD"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Peritoneum: _________________ </w:t>
      </w:r>
    </w:p>
    <w:p w14:paraId="7A130312"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Bone: _________________ </w:t>
      </w:r>
    </w:p>
    <w:p w14:paraId="4669CE76"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642267B2"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Cannot be determined: _________________ </w:t>
      </w:r>
    </w:p>
    <w:p w14:paraId="16F107E9"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37C92CDE" w14:textId="77777777" w:rsidR="00BC3FE6" w:rsidRPr="00B2280E" w:rsidRDefault="00BC3FE6" w:rsidP="00B2280E">
      <w:pPr>
        <w:spacing w:after="0" w:line="276" w:lineRule="auto"/>
        <w:rPr>
          <w:rFonts w:ascii="Arial" w:eastAsia="Times New Roman" w:hAnsi="Arial" w:cs="Arial"/>
          <w:b/>
          <w:bCs/>
          <w:sz w:val="20"/>
          <w:szCs w:val="20"/>
          <w:lang w:val="en"/>
        </w:rPr>
      </w:pPr>
      <w:proofErr w:type="spellStart"/>
      <w:r w:rsidRPr="00B2280E">
        <w:rPr>
          <w:rFonts w:ascii="Arial" w:eastAsia="Times New Roman" w:hAnsi="Arial" w:cs="Arial"/>
          <w:b/>
          <w:bCs/>
          <w:sz w:val="20"/>
          <w:szCs w:val="20"/>
          <w:lang w:val="en"/>
        </w:rPr>
        <w:t>pTNM</w:t>
      </w:r>
      <w:proofErr w:type="spellEnd"/>
      <w:r w:rsidRPr="00B2280E">
        <w:rPr>
          <w:rFonts w:ascii="Arial" w:eastAsia="Times New Roman" w:hAnsi="Arial" w:cs="Arial"/>
          <w:b/>
          <w:bCs/>
          <w:sz w:val="20"/>
          <w:szCs w:val="20"/>
          <w:lang w:val="en"/>
        </w:rPr>
        <w:t xml:space="preserve"> CLASSIFICATION (AJCC Version 9) (Note </w:t>
      </w:r>
      <w:hyperlink w:anchor="N9014" w:history="1">
        <w:r w:rsidRPr="00B2280E">
          <w:rPr>
            <w:rStyle w:val="Hyperlink"/>
            <w:rFonts w:ascii="Arial" w:eastAsia="Times New Roman" w:hAnsi="Arial" w:cs="Arial"/>
            <w:b/>
            <w:bCs/>
            <w:sz w:val="20"/>
            <w:szCs w:val="20"/>
            <w:lang w:val="en"/>
          </w:rPr>
          <w:t>F</w:t>
        </w:r>
      </w:hyperlink>
      <w:r w:rsidRPr="00B2280E">
        <w:rPr>
          <w:rFonts w:ascii="Arial" w:eastAsia="Times New Roman" w:hAnsi="Arial" w:cs="Arial"/>
          <w:b/>
          <w:bCs/>
          <w:sz w:val="20"/>
          <w:szCs w:val="20"/>
          <w:lang w:val="en"/>
        </w:rPr>
        <w:t xml:space="preserve">) </w:t>
      </w:r>
    </w:p>
    <w:p w14:paraId="3BCB1578" w14:textId="77777777" w:rsidR="00BC3FE6" w:rsidRPr="00B2280E" w:rsidRDefault="00BC3FE6" w:rsidP="00B2280E">
      <w:pPr>
        <w:spacing w:after="0" w:line="276" w:lineRule="auto"/>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Reporting of </w:t>
      </w:r>
      <w:proofErr w:type="spellStart"/>
      <w:r w:rsidRPr="00B2280E">
        <w:rPr>
          <w:rFonts w:ascii="Arial" w:eastAsia="Times New Roman" w:hAnsi="Arial" w:cs="Arial"/>
          <w:i/>
          <w:iCs/>
          <w:sz w:val="16"/>
          <w:szCs w:val="16"/>
          <w:lang w:val="en"/>
        </w:rPr>
        <w:t>pT</w:t>
      </w:r>
      <w:proofErr w:type="spellEnd"/>
      <w:r w:rsidRPr="00B2280E">
        <w:rPr>
          <w:rFonts w:ascii="Arial" w:eastAsia="Times New Roman" w:hAnsi="Arial" w:cs="Arial"/>
          <w:i/>
          <w:iCs/>
          <w:sz w:val="16"/>
          <w:szCs w:val="16"/>
          <w:lang w:val="en"/>
        </w:rPr>
        <w:t xml:space="preserve">, </w:t>
      </w:r>
      <w:proofErr w:type="spellStart"/>
      <w:r w:rsidRPr="00B2280E">
        <w:rPr>
          <w:rFonts w:ascii="Arial" w:eastAsia="Times New Roman" w:hAnsi="Arial" w:cs="Arial"/>
          <w:i/>
          <w:iCs/>
          <w:sz w:val="16"/>
          <w:szCs w:val="16"/>
          <w:lang w:val="en"/>
        </w:rPr>
        <w:t>pN</w:t>
      </w:r>
      <w:proofErr w:type="spellEnd"/>
      <w:r w:rsidRPr="00B2280E">
        <w:rPr>
          <w:rFonts w:ascii="Arial" w:eastAsia="Times New Roman" w:hAnsi="Arial" w:cs="Arial"/>
          <w:i/>
          <w:iCs/>
          <w:sz w:val="16"/>
          <w:szCs w:val="16"/>
          <w:lang w:val="en"/>
        </w:rPr>
        <w:t xml:space="preserve">, and (when applicable) </w:t>
      </w:r>
      <w:proofErr w:type="spellStart"/>
      <w:r w:rsidRPr="00B2280E">
        <w:rPr>
          <w:rFonts w:ascii="Arial" w:eastAsia="Times New Roman" w:hAnsi="Arial" w:cs="Arial"/>
          <w:i/>
          <w:iCs/>
          <w:sz w:val="16"/>
          <w:szCs w:val="16"/>
          <w:lang w:val="en"/>
        </w:rPr>
        <w:t>pM</w:t>
      </w:r>
      <w:proofErr w:type="spellEnd"/>
      <w:r w:rsidRPr="00B2280E">
        <w:rPr>
          <w:rFonts w:ascii="Arial" w:eastAsia="Times New Roman" w:hAnsi="Arial" w:cs="Arial"/>
          <w:i/>
          <w:iCs/>
          <w:sz w:val="16"/>
          <w:szCs w:val="16"/>
          <w:lang w:val="en"/>
        </w:rPr>
        <w:t xml:space="preserve"> categories is based on information available to the pathologist at the time the report is issued. As per the AJCC (Chapter 1, 8th Ed.) it is the managing physician’s responsibility to establish the final pathologic stage based upon all pertinent information, including but potentially not limited to this pathology report.  </w:t>
      </w:r>
    </w:p>
    <w:p w14:paraId="790367BE"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12AFEB59" w14:textId="443D757B"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Modified Classification (required only if applicable) (select all that apply) </w:t>
      </w:r>
    </w:p>
    <w:p w14:paraId="01E46A9C"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w:t>
      </w:r>
    </w:p>
    <w:p w14:paraId="32DA9BC5"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y (post-neoadjuvant therapy)  </w:t>
      </w:r>
    </w:p>
    <w:p w14:paraId="079697C8"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r (recurrence)  </w:t>
      </w:r>
    </w:p>
    <w:p w14:paraId="37499B83"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1DDFD1D9" w14:textId="77777777" w:rsidR="00BC3FE6" w:rsidRPr="00B2280E" w:rsidRDefault="00BC3FE6" w:rsidP="00B2280E">
      <w:pPr>
        <w:spacing w:after="0" w:line="276" w:lineRule="auto"/>
        <w:rPr>
          <w:rFonts w:ascii="Arial" w:eastAsia="Times New Roman" w:hAnsi="Arial" w:cs="Arial"/>
          <w:b/>
          <w:bCs/>
          <w:sz w:val="20"/>
          <w:szCs w:val="20"/>
          <w:lang w:val="en"/>
        </w:rPr>
      </w:pPr>
      <w:proofErr w:type="spellStart"/>
      <w:r w:rsidRPr="00B2280E">
        <w:rPr>
          <w:rFonts w:ascii="Arial" w:eastAsia="Times New Roman" w:hAnsi="Arial" w:cs="Arial"/>
          <w:b/>
          <w:bCs/>
          <w:sz w:val="20"/>
          <w:szCs w:val="20"/>
          <w:lang w:val="en"/>
        </w:rPr>
        <w:t>pT</w:t>
      </w:r>
      <w:proofErr w:type="spellEnd"/>
      <w:r w:rsidRPr="00B2280E">
        <w:rPr>
          <w:rFonts w:ascii="Arial" w:eastAsia="Times New Roman" w:hAnsi="Arial" w:cs="Arial"/>
          <w:b/>
          <w:bCs/>
          <w:sz w:val="20"/>
          <w:szCs w:val="20"/>
          <w:lang w:val="en"/>
        </w:rPr>
        <w:t xml:space="preserve"> Category#  </w:t>
      </w:r>
    </w:p>
    <w:p w14:paraId="2E8242D5" w14:textId="77777777" w:rsidR="00BC3FE6" w:rsidRPr="00B2280E" w:rsidRDefault="00BC3FE6" w:rsidP="00B2280E">
      <w:pPr>
        <w:spacing w:after="0" w:line="276" w:lineRule="auto"/>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 Multiple tumors should be designated as such (the largest tumor should be used to assign T category). Use </w:t>
      </w:r>
      <w:proofErr w:type="gramStart"/>
      <w:r w:rsidRPr="00B2280E">
        <w:rPr>
          <w:rFonts w:ascii="Arial" w:eastAsia="Times New Roman" w:hAnsi="Arial" w:cs="Arial"/>
          <w:i/>
          <w:iCs/>
          <w:sz w:val="16"/>
          <w:szCs w:val="16"/>
          <w:lang w:val="en"/>
        </w:rPr>
        <w:t>T(</w:t>
      </w:r>
      <w:proofErr w:type="gramEnd"/>
      <w:r w:rsidRPr="00B2280E">
        <w:rPr>
          <w:rFonts w:ascii="Arial" w:eastAsia="Times New Roman" w:hAnsi="Arial" w:cs="Arial"/>
          <w:i/>
          <w:iCs/>
          <w:sz w:val="16"/>
          <w:szCs w:val="16"/>
          <w:lang w:val="en"/>
        </w:rPr>
        <w:t xml:space="preserve">#); e.g., pT3(4) N0 M0, OR use the m suffix, T(m); e.g., pT3(m) N0 M0.   </w:t>
      </w:r>
    </w:p>
    <w:p w14:paraId="564AA66A"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w:t>
      </w:r>
      <w:proofErr w:type="spellStart"/>
      <w:r w:rsidRPr="00B2280E">
        <w:rPr>
          <w:rFonts w:ascii="Arial" w:eastAsia="Times New Roman" w:hAnsi="Arial" w:cs="Arial"/>
          <w:sz w:val="20"/>
          <w:szCs w:val="20"/>
          <w:lang w:val="en"/>
        </w:rPr>
        <w:t>pT</w:t>
      </w:r>
      <w:proofErr w:type="spellEnd"/>
      <w:r w:rsidRPr="00B2280E">
        <w:rPr>
          <w:rFonts w:ascii="Arial" w:eastAsia="Times New Roman" w:hAnsi="Arial" w:cs="Arial"/>
          <w:sz w:val="20"/>
          <w:szCs w:val="20"/>
          <w:lang w:val="en"/>
        </w:rPr>
        <w:t xml:space="preserve"> not assigned (cannot be determined based on available pathological information)  </w:t>
      </w:r>
    </w:p>
    <w:p w14:paraId="08DF23D3"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pT0: No evidence of primary tumor  </w:t>
      </w:r>
    </w:p>
    <w:p w14:paraId="736E1E08"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pT1: Tumor less than or equal to 2 cm in greatest dimension  </w:t>
      </w:r>
    </w:p>
    <w:p w14:paraId="62830494"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pT2: Tumor greater than 2 cm but less than or equal to 4 cm in greatest dimension  </w:t>
      </w:r>
    </w:p>
    <w:p w14:paraId="06F2EEDC"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pT3: Tumor greater than 4 cm in greatest dimension, or with </w:t>
      </w:r>
      <w:proofErr w:type="spellStart"/>
      <w:r w:rsidRPr="00B2280E">
        <w:rPr>
          <w:rFonts w:ascii="Arial" w:eastAsia="Times New Roman" w:hAnsi="Arial" w:cs="Arial"/>
          <w:sz w:val="20"/>
          <w:szCs w:val="20"/>
          <w:lang w:val="en"/>
        </w:rPr>
        <w:t>subserosal</w:t>
      </w:r>
      <w:proofErr w:type="spellEnd"/>
      <w:r w:rsidRPr="00B2280E">
        <w:rPr>
          <w:rFonts w:ascii="Arial" w:eastAsia="Times New Roman" w:hAnsi="Arial" w:cs="Arial"/>
          <w:sz w:val="20"/>
          <w:szCs w:val="20"/>
          <w:lang w:val="en"/>
        </w:rPr>
        <w:t xml:space="preserve"> invasion, or involvement of</w:t>
      </w:r>
    </w:p>
    <w:p w14:paraId="57537C5A" w14:textId="201350DD"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       the mesoappendix  </w:t>
      </w:r>
    </w:p>
    <w:p w14:paraId="4DBCF57A"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pT4: Tumor perforates the peritoneum, or directly invades other adjacent organs or </w:t>
      </w:r>
      <w:proofErr w:type="gramStart"/>
      <w:r w:rsidRPr="00B2280E">
        <w:rPr>
          <w:rFonts w:ascii="Arial" w:eastAsia="Times New Roman" w:hAnsi="Arial" w:cs="Arial"/>
          <w:sz w:val="20"/>
          <w:szCs w:val="20"/>
          <w:lang w:val="en"/>
        </w:rPr>
        <w:t>structures</w:t>
      </w:r>
      <w:proofErr w:type="gramEnd"/>
    </w:p>
    <w:p w14:paraId="0D6048B7" w14:textId="784D51F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       (excluding direct mural extension to adjacent subserosa of adjacent bowel), e.g., abdominal wall and </w:t>
      </w:r>
    </w:p>
    <w:p w14:paraId="38D679B0" w14:textId="2FF22A4B"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       skeletal muscle  </w:t>
      </w:r>
    </w:p>
    <w:p w14:paraId="17072B7C"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091BDFA9"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T Suffix (required only if applicable)  </w:t>
      </w:r>
    </w:p>
    <w:p w14:paraId="0D5FFEEF"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w:t>
      </w:r>
    </w:p>
    <w:p w14:paraId="36C3D491"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(m) multiple primary synchronous tumors in a single organ  </w:t>
      </w:r>
    </w:p>
    <w:p w14:paraId="11BE8BEE"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560AE75A" w14:textId="77777777" w:rsidR="00BC3FE6" w:rsidRPr="00B2280E" w:rsidRDefault="00BC3FE6" w:rsidP="00B2280E">
      <w:pPr>
        <w:spacing w:after="0" w:line="276" w:lineRule="auto"/>
        <w:rPr>
          <w:rFonts w:ascii="Arial" w:eastAsia="Times New Roman" w:hAnsi="Arial" w:cs="Arial"/>
          <w:b/>
          <w:bCs/>
          <w:sz w:val="20"/>
          <w:szCs w:val="20"/>
          <w:lang w:val="en"/>
        </w:rPr>
      </w:pPr>
      <w:proofErr w:type="spellStart"/>
      <w:r w:rsidRPr="00B2280E">
        <w:rPr>
          <w:rFonts w:ascii="Arial" w:eastAsia="Times New Roman" w:hAnsi="Arial" w:cs="Arial"/>
          <w:b/>
          <w:bCs/>
          <w:sz w:val="20"/>
          <w:szCs w:val="20"/>
          <w:lang w:val="en"/>
        </w:rPr>
        <w:t>pN</w:t>
      </w:r>
      <w:proofErr w:type="spellEnd"/>
      <w:r w:rsidRPr="00B2280E">
        <w:rPr>
          <w:rFonts w:ascii="Arial" w:eastAsia="Times New Roman" w:hAnsi="Arial" w:cs="Arial"/>
          <w:b/>
          <w:bCs/>
          <w:sz w:val="20"/>
          <w:szCs w:val="20"/>
          <w:lang w:val="en"/>
        </w:rPr>
        <w:t xml:space="preserve"> Category  </w:t>
      </w:r>
    </w:p>
    <w:p w14:paraId="7B5A42E1"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w:t>
      </w:r>
      <w:proofErr w:type="spellStart"/>
      <w:r w:rsidRPr="00B2280E">
        <w:rPr>
          <w:rFonts w:ascii="Arial" w:eastAsia="Times New Roman" w:hAnsi="Arial" w:cs="Arial"/>
          <w:sz w:val="20"/>
          <w:szCs w:val="20"/>
          <w:lang w:val="en"/>
        </w:rPr>
        <w:t>pN</w:t>
      </w:r>
      <w:proofErr w:type="spellEnd"/>
      <w:r w:rsidRPr="00B2280E">
        <w:rPr>
          <w:rFonts w:ascii="Arial" w:eastAsia="Times New Roman" w:hAnsi="Arial" w:cs="Arial"/>
          <w:sz w:val="20"/>
          <w:szCs w:val="20"/>
          <w:lang w:val="en"/>
        </w:rPr>
        <w:t xml:space="preserve"> not assigned (no nodes submitted or found)  </w:t>
      </w:r>
    </w:p>
    <w:p w14:paraId="50C4B41D"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w:t>
      </w:r>
      <w:proofErr w:type="spellStart"/>
      <w:r w:rsidRPr="00B2280E">
        <w:rPr>
          <w:rFonts w:ascii="Arial" w:eastAsia="Times New Roman" w:hAnsi="Arial" w:cs="Arial"/>
          <w:sz w:val="20"/>
          <w:szCs w:val="20"/>
          <w:lang w:val="en"/>
        </w:rPr>
        <w:t>pN</w:t>
      </w:r>
      <w:proofErr w:type="spellEnd"/>
      <w:r w:rsidRPr="00B2280E">
        <w:rPr>
          <w:rFonts w:ascii="Arial" w:eastAsia="Times New Roman" w:hAnsi="Arial" w:cs="Arial"/>
          <w:sz w:val="20"/>
          <w:szCs w:val="20"/>
          <w:lang w:val="en"/>
        </w:rPr>
        <w:t xml:space="preserve"> not assigned (cannot be determined based on available pathological information)  </w:t>
      </w:r>
    </w:p>
    <w:p w14:paraId="253E987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pN0: No tumor involvement of regional lymph node(s)  </w:t>
      </w:r>
    </w:p>
    <w:p w14:paraId="5E9D719C" w14:textId="58F5025B" w:rsidR="00BC3FE6" w:rsidRPr="005402BC" w:rsidRDefault="00BC3FE6" w:rsidP="005402BC">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___ pN</w:t>
      </w:r>
      <w:proofErr w:type="gramStart"/>
      <w:r w:rsidRPr="00B2280E">
        <w:rPr>
          <w:rFonts w:ascii="Arial" w:eastAsia="Times New Roman" w:hAnsi="Arial" w:cs="Arial"/>
          <w:sz w:val="20"/>
          <w:szCs w:val="20"/>
          <w:lang w:val="en"/>
        </w:rPr>
        <w:t>1:Tumor</w:t>
      </w:r>
      <w:proofErr w:type="gramEnd"/>
      <w:r w:rsidRPr="00B2280E">
        <w:rPr>
          <w:rFonts w:ascii="Arial" w:eastAsia="Times New Roman" w:hAnsi="Arial" w:cs="Arial"/>
          <w:sz w:val="20"/>
          <w:szCs w:val="20"/>
          <w:lang w:val="en"/>
        </w:rPr>
        <w:t xml:space="preserve"> involvement of regional lymph node(s)  </w:t>
      </w:r>
    </w:p>
    <w:p w14:paraId="4359F13A" w14:textId="494E5EF3" w:rsidR="00BC3FE6" w:rsidRPr="00B2280E" w:rsidRDefault="00BC3FE6" w:rsidP="00B2280E">
      <w:pPr>
        <w:spacing w:after="0" w:line="276" w:lineRule="auto"/>
        <w:rPr>
          <w:rFonts w:ascii="Arial" w:eastAsia="Times New Roman" w:hAnsi="Arial" w:cs="Arial"/>
          <w:b/>
          <w:bCs/>
          <w:sz w:val="20"/>
          <w:szCs w:val="20"/>
          <w:lang w:val="en"/>
        </w:rPr>
      </w:pPr>
      <w:proofErr w:type="spellStart"/>
      <w:r w:rsidRPr="00B2280E">
        <w:rPr>
          <w:rFonts w:ascii="Arial" w:eastAsia="Times New Roman" w:hAnsi="Arial" w:cs="Arial"/>
          <w:b/>
          <w:bCs/>
          <w:sz w:val="20"/>
          <w:szCs w:val="20"/>
          <w:lang w:val="en"/>
        </w:rPr>
        <w:lastRenderedPageBreak/>
        <w:t>pM</w:t>
      </w:r>
      <w:proofErr w:type="spellEnd"/>
      <w:r w:rsidRPr="00B2280E">
        <w:rPr>
          <w:rFonts w:ascii="Arial" w:eastAsia="Times New Roman" w:hAnsi="Arial" w:cs="Arial"/>
          <w:b/>
          <w:bCs/>
          <w:sz w:val="20"/>
          <w:szCs w:val="20"/>
          <w:lang w:val="en"/>
        </w:rPr>
        <w:t xml:space="preserve"> Category (required only if confirmed pathologically)  </w:t>
      </w:r>
    </w:p>
    <w:p w14:paraId="6C882146"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Not applicable - </w:t>
      </w:r>
      <w:proofErr w:type="spellStart"/>
      <w:r w:rsidRPr="00B2280E">
        <w:rPr>
          <w:rFonts w:ascii="Arial" w:eastAsia="Times New Roman" w:hAnsi="Arial" w:cs="Arial"/>
          <w:sz w:val="20"/>
          <w:szCs w:val="20"/>
          <w:lang w:val="en"/>
        </w:rPr>
        <w:t>pM</w:t>
      </w:r>
      <w:proofErr w:type="spellEnd"/>
      <w:r w:rsidRPr="00B2280E">
        <w:rPr>
          <w:rFonts w:ascii="Arial" w:eastAsia="Times New Roman" w:hAnsi="Arial" w:cs="Arial"/>
          <w:sz w:val="20"/>
          <w:szCs w:val="20"/>
          <w:lang w:val="en"/>
        </w:rPr>
        <w:t xml:space="preserve"> cannot be determined from the submitted specimen(s)  </w:t>
      </w:r>
    </w:p>
    <w:p w14:paraId="3D716727" w14:textId="77777777" w:rsidR="00BC3FE6" w:rsidRPr="00B2280E" w:rsidRDefault="00BC3FE6" w:rsidP="00B2280E">
      <w:pPr>
        <w:spacing w:after="0" w:line="276" w:lineRule="auto"/>
        <w:rPr>
          <w:rFonts w:ascii="Arial" w:eastAsia="Times New Roman" w:hAnsi="Arial" w:cs="Arial"/>
          <w:i/>
          <w:iCs/>
          <w:sz w:val="16"/>
          <w:szCs w:val="16"/>
          <w:lang w:val="en"/>
        </w:rPr>
      </w:pPr>
      <w:r w:rsidRPr="00B2280E">
        <w:rPr>
          <w:rFonts w:ascii="Arial" w:eastAsia="Times New Roman" w:hAnsi="Arial" w:cs="Arial"/>
          <w:i/>
          <w:iCs/>
          <w:sz w:val="16"/>
          <w:szCs w:val="16"/>
          <w:lang w:val="en"/>
        </w:rPr>
        <w:t xml:space="preserve">pM1: Microscopic confirmation of distant metastasis   </w:t>
      </w:r>
    </w:p>
    <w:p w14:paraId="428F0C3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pM1a: Microscopic confirmation of metastasis confined to </w:t>
      </w:r>
      <w:proofErr w:type="gramStart"/>
      <w:r w:rsidRPr="00B2280E">
        <w:rPr>
          <w:rFonts w:ascii="Arial" w:eastAsia="Times New Roman" w:hAnsi="Arial" w:cs="Arial"/>
          <w:sz w:val="20"/>
          <w:szCs w:val="20"/>
          <w:lang w:val="en"/>
        </w:rPr>
        <w:t>liver</w:t>
      </w:r>
      <w:proofErr w:type="gramEnd"/>
      <w:r w:rsidRPr="00B2280E">
        <w:rPr>
          <w:rFonts w:ascii="Arial" w:eastAsia="Times New Roman" w:hAnsi="Arial" w:cs="Arial"/>
          <w:sz w:val="20"/>
          <w:szCs w:val="20"/>
          <w:lang w:val="en"/>
        </w:rPr>
        <w:t xml:space="preserve">  </w:t>
      </w:r>
    </w:p>
    <w:p w14:paraId="04D4C45F"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___ pM1</w:t>
      </w:r>
      <w:proofErr w:type="gramStart"/>
      <w:r w:rsidRPr="00B2280E">
        <w:rPr>
          <w:rFonts w:ascii="Arial" w:eastAsia="Times New Roman" w:hAnsi="Arial" w:cs="Arial"/>
          <w:sz w:val="20"/>
          <w:szCs w:val="20"/>
          <w:lang w:val="en"/>
        </w:rPr>
        <w:t>b:Microscopic</w:t>
      </w:r>
      <w:proofErr w:type="gramEnd"/>
      <w:r w:rsidRPr="00B2280E">
        <w:rPr>
          <w:rFonts w:ascii="Arial" w:eastAsia="Times New Roman" w:hAnsi="Arial" w:cs="Arial"/>
          <w:sz w:val="20"/>
          <w:szCs w:val="20"/>
          <w:lang w:val="en"/>
        </w:rPr>
        <w:t xml:space="preserve"> confirmation of metastasis in at least one extrahepatic site (e.g., lung, ovary, nonregional lymph node, peritoneum, bone)  </w:t>
      </w:r>
    </w:p>
    <w:p w14:paraId="717E25EF"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pM1c: Microscopic confirmation of both hepatic and extrahepatic metastases  </w:t>
      </w:r>
    </w:p>
    <w:p w14:paraId="0F822F39"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pM1 (subcategory cannot be determined)  </w:t>
      </w:r>
    </w:p>
    <w:p w14:paraId="105A58AE"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7508BCD0"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ADDITIONAL FINDINGS (Note </w:t>
      </w:r>
      <w:hyperlink w:anchor="N9015" w:history="1">
        <w:r w:rsidRPr="00B2280E">
          <w:rPr>
            <w:rStyle w:val="Hyperlink"/>
            <w:rFonts w:ascii="Arial" w:eastAsia="Times New Roman" w:hAnsi="Arial" w:cs="Arial"/>
            <w:b/>
            <w:bCs/>
            <w:sz w:val="20"/>
            <w:szCs w:val="20"/>
            <w:lang w:val="en"/>
          </w:rPr>
          <w:t>G</w:t>
        </w:r>
      </w:hyperlink>
      <w:r w:rsidRPr="00B2280E">
        <w:rPr>
          <w:rFonts w:ascii="Arial" w:eastAsia="Times New Roman" w:hAnsi="Arial" w:cs="Arial"/>
          <w:b/>
          <w:bCs/>
          <w:sz w:val="20"/>
          <w:szCs w:val="20"/>
          <w:lang w:val="en"/>
        </w:rPr>
        <w:t xml:space="preserve">) </w:t>
      </w:r>
    </w:p>
    <w:p w14:paraId="6B405AD7"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1EE9DDDF" w14:textId="6F2FBB9A"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+Additional </w:t>
      </w:r>
      <w:r w:rsidR="00B2280E" w:rsidRPr="00B2280E">
        <w:rPr>
          <w:rFonts w:ascii="Arial" w:eastAsia="Times New Roman" w:hAnsi="Arial" w:cs="Arial"/>
          <w:b/>
          <w:bCs/>
          <w:sz w:val="20"/>
          <w:szCs w:val="20"/>
          <w:lang w:val="en"/>
        </w:rPr>
        <w:t>Findings (</w:t>
      </w:r>
      <w:r w:rsidRPr="00B2280E">
        <w:rPr>
          <w:rFonts w:ascii="Arial" w:eastAsia="Times New Roman" w:hAnsi="Arial" w:cs="Arial"/>
          <w:b/>
          <w:bCs/>
          <w:sz w:val="20"/>
          <w:szCs w:val="20"/>
          <w:lang w:val="en"/>
        </w:rPr>
        <w:t xml:space="preserve">select all that apply) </w:t>
      </w:r>
    </w:p>
    <w:p w14:paraId="0CF17FEB"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None </w:t>
      </w:r>
      <w:proofErr w:type="gramStart"/>
      <w:r w:rsidRPr="00B2280E">
        <w:rPr>
          <w:rFonts w:ascii="Arial" w:eastAsia="Times New Roman" w:hAnsi="Arial" w:cs="Arial"/>
          <w:sz w:val="20"/>
          <w:szCs w:val="20"/>
          <w:lang w:val="en"/>
        </w:rPr>
        <w:t>identified</w:t>
      </w:r>
      <w:proofErr w:type="gramEnd"/>
      <w:r w:rsidRPr="00B2280E">
        <w:rPr>
          <w:rFonts w:ascii="Arial" w:eastAsia="Times New Roman" w:hAnsi="Arial" w:cs="Arial"/>
          <w:sz w:val="20"/>
          <w:szCs w:val="20"/>
          <w:lang w:val="en"/>
        </w:rPr>
        <w:t xml:space="preserve">  </w:t>
      </w:r>
    </w:p>
    <w:p w14:paraId="27C50DEC"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Tumor necrosis  </w:t>
      </w:r>
    </w:p>
    <w:p w14:paraId="4DB3EF60"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Acute appendicitis  </w:t>
      </w:r>
    </w:p>
    <w:p w14:paraId="0AF30B26" w14:textId="77777777" w:rsidR="00BC3FE6" w:rsidRPr="00B2280E" w:rsidRDefault="00BC3FE6" w:rsidP="00B2280E">
      <w:pPr>
        <w:spacing w:after="0" w:line="276" w:lineRule="auto"/>
        <w:rPr>
          <w:rFonts w:ascii="Arial" w:eastAsia="Times New Roman" w:hAnsi="Arial" w:cs="Arial"/>
          <w:sz w:val="20"/>
          <w:szCs w:val="20"/>
          <w:lang w:val="en"/>
        </w:rPr>
      </w:pPr>
      <w:r w:rsidRPr="00B2280E">
        <w:rPr>
          <w:rFonts w:ascii="Arial" w:eastAsia="Times New Roman" w:hAnsi="Arial" w:cs="Arial"/>
          <w:sz w:val="20"/>
          <w:szCs w:val="20"/>
          <w:lang w:val="en"/>
        </w:rPr>
        <w:t xml:space="preserve">___ Other (specify): _________________ </w:t>
      </w:r>
    </w:p>
    <w:p w14:paraId="28FF590B"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6707C33A"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COMMENTS  </w:t>
      </w:r>
    </w:p>
    <w:p w14:paraId="2FD965CF"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42237297" w14:textId="77777777" w:rsidR="00BC3FE6" w:rsidRPr="00B2280E" w:rsidRDefault="00BC3FE6" w:rsidP="00B2280E">
      <w:pP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Comment(s): _________________ </w:t>
      </w:r>
    </w:p>
    <w:p w14:paraId="64EFF421" w14:textId="77777777" w:rsidR="00BC3FE6" w:rsidRPr="00B2280E" w:rsidRDefault="00BC3FE6" w:rsidP="00B2280E">
      <w:pPr>
        <w:spacing w:after="0" w:line="276" w:lineRule="auto"/>
        <w:divId w:val="2083409796"/>
        <w:rPr>
          <w:rFonts w:ascii="Arial" w:eastAsia="Times New Roman" w:hAnsi="Arial" w:cs="Arial"/>
          <w:sz w:val="20"/>
          <w:szCs w:val="20"/>
          <w:lang w:val="en"/>
        </w:rPr>
      </w:pPr>
    </w:p>
    <w:p w14:paraId="647577B1" w14:textId="77777777" w:rsidR="00BC3FE6" w:rsidRPr="00B2280E" w:rsidRDefault="00BC3FE6" w:rsidP="00B2280E">
      <w:pPr>
        <w:pageBreakBefore/>
        <w:pBdr>
          <w:bottom w:val="single" w:sz="2" w:space="1" w:color="000000"/>
        </w:pBdr>
        <w:spacing w:after="0" w:line="276" w:lineRule="auto"/>
        <w:rPr>
          <w:rFonts w:ascii="Arial" w:eastAsia="Times New Roman" w:hAnsi="Arial" w:cs="Arial"/>
          <w:b/>
          <w:bCs/>
          <w:sz w:val="20"/>
          <w:szCs w:val="20"/>
          <w:lang w:val="en"/>
        </w:rPr>
      </w:pPr>
      <w:r w:rsidRPr="00B2280E">
        <w:rPr>
          <w:rFonts w:ascii="Arial" w:eastAsia="Times New Roman" w:hAnsi="Arial" w:cs="Arial"/>
          <w:b/>
          <w:bCs/>
          <w:sz w:val="20"/>
          <w:szCs w:val="20"/>
          <w:lang w:val="en"/>
        </w:rPr>
        <w:lastRenderedPageBreak/>
        <w:t>Explanatory Notes</w:t>
      </w:r>
    </w:p>
    <w:p w14:paraId="5EF6CE69" w14:textId="77777777" w:rsidR="00B2280E" w:rsidRDefault="00B2280E" w:rsidP="00B2280E">
      <w:pPr>
        <w:spacing w:after="0" w:line="276" w:lineRule="auto"/>
        <w:rPr>
          <w:rFonts w:ascii="Arial" w:eastAsia="Times New Roman" w:hAnsi="Arial" w:cs="Arial"/>
          <w:b/>
          <w:bCs/>
          <w:sz w:val="20"/>
          <w:szCs w:val="20"/>
          <w:lang w:val="en"/>
        </w:rPr>
      </w:pPr>
      <w:bookmarkStart w:id="0" w:name="N9009"/>
    </w:p>
    <w:p w14:paraId="1BA013AC" w14:textId="20E380AE" w:rsidR="00B2280E" w:rsidRPr="00B2280E" w:rsidRDefault="00B2280E" w:rsidP="005402BC">
      <w:pPr>
        <w:spacing w:after="0" w:line="276" w:lineRule="auto"/>
        <w:jc w:val="both"/>
        <w:rPr>
          <w:rFonts w:ascii="Arial" w:eastAsia="Times New Roman" w:hAnsi="Arial" w:cs="Arial"/>
          <w:b/>
          <w:bCs/>
          <w:sz w:val="20"/>
          <w:szCs w:val="20"/>
          <w:lang w:val="en"/>
        </w:rPr>
      </w:pPr>
      <w:r w:rsidRPr="00B2280E">
        <w:rPr>
          <w:rFonts w:ascii="Arial" w:eastAsia="Times New Roman" w:hAnsi="Arial" w:cs="Arial"/>
          <w:b/>
          <w:bCs/>
          <w:sz w:val="20"/>
          <w:szCs w:val="20"/>
          <w:lang w:val="en"/>
        </w:rPr>
        <w:t xml:space="preserve">A. </w:t>
      </w:r>
      <w:r w:rsidR="00BC3FE6" w:rsidRPr="00B2280E">
        <w:rPr>
          <w:rFonts w:ascii="Arial" w:eastAsia="Times New Roman" w:hAnsi="Arial" w:cs="Arial"/>
          <w:b/>
          <w:bCs/>
          <w:sz w:val="20"/>
          <w:szCs w:val="20"/>
          <w:lang w:val="en"/>
        </w:rPr>
        <w:t>Application and Tumor Location</w:t>
      </w:r>
      <w:bookmarkEnd w:id="0"/>
    </w:p>
    <w:p w14:paraId="16C05F02"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This protocol applies to well-differentiated neuroendocrine tumors (carcinoid tumors) of the appendix of any size. For poorly differentiated neuroendocrine carcinomas (including small cell carcinomas and large cell neuroendocrine carcinomas) and goblet cell adenocarcinoma (previously goblet cell carcinoid tumor), use the CAP cancer protocol for carcinoma of the appendix.</w:t>
      </w:r>
      <w:hyperlink w:anchor="R38695" w:tooltip="Kakar S, Shi C, Driman DK, et al. Protocol for the Examination of Specimens From&#10;Patients With Carcinoma of the Appendix. 2017. Available at&#10;www.cap.org/cancerprotocols." w:history="1">
        <w:r w:rsidRPr="00B2280E">
          <w:rPr>
            <w:rStyle w:val="Hyperlink"/>
            <w:rFonts w:ascii="Arial" w:hAnsi="Arial" w:cs="Arial"/>
            <w:sz w:val="20"/>
            <w:szCs w:val="20"/>
            <w:vertAlign w:val="superscript"/>
            <w:lang w:val="en"/>
          </w:rPr>
          <w:t>1</w:t>
        </w:r>
      </w:hyperlink>
    </w:p>
    <w:p w14:paraId="24456DAC" w14:textId="77777777" w:rsidR="00B2280E" w:rsidRDefault="00B2280E" w:rsidP="005402BC">
      <w:pPr>
        <w:spacing w:after="0" w:line="276" w:lineRule="auto"/>
        <w:jc w:val="both"/>
        <w:rPr>
          <w:rFonts w:ascii="Arial" w:eastAsia="Times New Roman" w:hAnsi="Arial" w:cs="Arial"/>
          <w:sz w:val="20"/>
          <w:szCs w:val="20"/>
          <w:lang w:val="en"/>
        </w:rPr>
      </w:pPr>
    </w:p>
    <w:p w14:paraId="5DBF4128"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The appendix is a common site of gastrointestinal neuroendocrine tumors, usually presenting as small solitary lesions incidentally discovered after appendectomy. Appendiceal neuroendocrine tumors are commonly diagnosed at a young age and arise in the deep mucosa or submucosa. Unlike other gastrointestinal neuroendocrine tumors or appendiceal adenocarcinomas, tumor size is considered more important than depth of invasion for appendiceal neuroendocrine tumor. Therefore, the staging system for appendiceal neuroendocrine tumors is different from those for other neuroendocrine tumors of the gut.</w:t>
      </w:r>
      <w:hyperlink w:anchor="R61022" w:tooltip="AJCC Version 9 Neuroendocrine Tumors of the Appendix Cancer Staging System. Copyright 2023 American College of Surgeons." w:history="1">
        <w:r w:rsidRPr="00B2280E">
          <w:rPr>
            <w:rStyle w:val="Hyperlink"/>
            <w:rFonts w:ascii="Arial" w:hAnsi="Arial" w:cs="Arial"/>
            <w:sz w:val="20"/>
            <w:szCs w:val="20"/>
            <w:vertAlign w:val="superscript"/>
            <w:lang w:val="en"/>
          </w:rPr>
          <w:t>2</w:t>
        </w:r>
      </w:hyperlink>
      <w:r w:rsidRPr="00B2280E">
        <w:rPr>
          <w:rFonts w:ascii="Arial" w:hAnsi="Arial" w:cs="Arial"/>
          <w:sz w:val="20"/>
          <w:szCs w:val="20"/>
          <w:lang w:val="en"/>
        </w:rPr>
        <w:t>  </w:t>
      </w:r>
    </w:p>
    <w:p w14:paraId="0BBFDCF4" w14:textId="77777777" w:rsidR="00B2280E" w:rsidRDefault="00B2280E" w:rsidP="005402BC">
      <w:pPr>
        <w:spacing w:after="0" w:line="276" w:lineRule="auto"/>
        <w:jc w:val="both"/>
        <w:rPr>
          <w:rFonts w:ascii="Arial" w:eastAsia="Times New Roman" w:hAnsi="Arial" w:cs="Arial"/>
          <w:sz w:val="20"/>
          <w:szCs w:val="20"/>
          <w:lang w:val="en"/>
        </w:rPr>
      </w:pPr>
    </w:p>
    <w:p w14:paraId="0586F94A"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References</w:t>
      </w:r>
      <w:bookmarkStart w:id="1" w:name="R38695"/>
    </w:p>
    <w:p w14:paraId="3996A7DC" w14:textId="05085A20" w:rsidR="00B2280E" w:rsidRPr="00B2280E" w:rsidRDefault="00BC3FE6" w:rsidP="005402BC">
      <w:pPr>
        <w:pStyle w:val="ListParagraph"/>
        <w:numPr>
          <w:ilvl w:val="0"/>
          <w:numId w:val="4"/>
        </w:numPr>
        <w:spacing w:after="0" w:line="276" w:lineRule="auto"/>
        <w:jc w:val="both"/>
        <w:rPr>
          <w:rStyle w:val="Emphasis"/>
          <w:rFonts w:ascii="Arial" w:eastAsia="Times New Roman" w:hAnsi="Arial" w:cs="Arial"/>
          <w:i w:val="0"/>
          <w:iCs w:val="0"/>
          <w:sz w:val="20"/>
          <w:szCs w:val="20"/>
          <w:lang w:val="en"/>
        </w:rPr>
      </w:pPr>
      <w:r w:rsidRPr="00B2280E">
        <w:rPr>
          <w:rFonts w:ascii="Arial" w:hAnsi="Arial" w:cs="Arial"/>
          <w:sz w:val="20"/>
          <w:szCs w:val="20"/>
          <w:lang w:val="en"/>
        </w:rPr>
        <w:t xml:space="preserve">Kakar S, Shi C, Driman DK, et al. Protocol for the Examination of Specimens </w:t>
      </w:r>
      <w:proofErr w:type="gramStart"/>
      <w:r w:rsidRPr="00B2280E">
        <w:rPr>
          <w:rFonts w:ascii="Arial" w:hAnsi="Arial" w:cs="Arial"/>
          <w:sz w:val="20"/>
          <w:szCs w:val="20"/>
          <w:lang w:val="en"/>
        </w:rPr>
        <w:t>From</w:t>
      </w:r>
      <w:proofErr w:type="gramEnd"/>
      <w:r w:rsidRPr="00B2280E">
        <w:rPr>
          <w:rFonts w:ascii="Arial" w:hAnsi="Arial" w:cs="Arial"/>
          <w:sz w:val="20"/>
          <w:szCs w:val="20"/>
          <w:lang w:val="en"/>
        </w:rPr>
        <w:t xml:space="preserve"> Patients With Carcinoma of the Appendix. 2017. Available at </w:t>
      </w:r>
      <w:r w:rsidR="00B2280E" w:rsidRPr="00B2280E">
        <w:rPr>
          <w:rStyle w:val="Emphasis"/>
          <w:rFonts w:ascii="Arial" w:hAnsi="Arial" w:cs="Arial"/>
          <w:i w:val="0"/>
          <w:iCs w:val="0"/>
          <w:sz w:val="20"/>
          <w:szCs w:val="20"/>
          <w:lang w:val="en"/>
        </w:rPr>
        <w:t>www.cap.org/cancerprotocols</w:t>
      </w:r>
      <w:r w:rsidRPr="00B2280E">
        <w:rPr>
          <w:rStyle w:val="Emphasis"/>
          <w:rFonts w:ascii="Arial" w:hAnsi="Arial" w:cs="Arial"/>
          <w:sz w:val="20"/>
          <w:szCs w:val="20"/>
          <w:lang w:val="en"/>
        </w:rPr>
        <w:t>.</w:t>
      </w:r>
      <w:bookmarkStart w:id="2" w:name="R61022"/>
      <w:bookmarkEnd w:id="1"/>
    </w:p>
    <w:p w14:paraId="3D07A0F5" w14:textId="77777777" w:rsidR="00B2280E" w:rsidRDefault="00BC3FE6" w:rsidP="005402BC">
      <w:pPr>
        <w:pStyle w:val="ListParagraph"/>
        <w:numPr>
          <w:ilvl w:val="0"/>
          <w:numId w:val="4"/>
        </w:num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AJCC Version 9 Neuroendocrine Tumors of the Appendix Cancer Staging System. Copyright 2023 American College of Surgeons.</w:t>
      </w:r>
      <w:bookmarkStart w:id="3" w:name="N9011"/>
      <w:bookmarkEnd w:id="2"/>
    </w:p>
    <w:p w14:paraId="2CED9E63" w14:textId="77777777" w:rsidR="00B2280E" w:rsidRDefault="00B2280E" w:rsidP="005402BC">
      <w:pPr>
        <w:spacing w:after="0" w:line="276" w:lineRule="auto"/>
        <w:jc w:val="both"/>
        <w:rPr>
          <w:rFonts w:ascii="Arial" w:eastAsia="Times New Roman" w:hAnsi="Arial" w:cs="Arial"/>
          <w:b/>
          <w:bCs/>
          <w:sz w:val="20"/>
          <w:szCs w:val="20"/>
          <w:lang w:val="en"/>
        </w:rPr>
      </w:pPr>
    </w:p>
    <w:p w14:paraId="06981DA0"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b/>
          <w:bCs/>
          <w:sz w:val="20"/>
          <w:szCs w:val="20"/>
          <w:lang w:val="en"/>
        </w:rPr>
        <w:t>B. Histologic Type</w:t>
      </w:r>
      <w:bookmarkEnd w:id="3"/>
    </w:p>
    <w:p w14:paraId="1E631FDB"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 xml:space="preserve">Most appendiceal NETs are low grade, with none </w:t>
      </w:r>
      <w:proofErr w:type="spellStart"/>
      <w:r w:rsidRPr="00B2280E">
        <w:rPr>
          <w:rFonts w:ascii="Arial" w:eastAsia="Times New Roman" w:hAnsi="Arial" w:cs="Arial"/>
          <w:sz w:val="20"/>
          <w:szCs w:val="20"/>
          <w:lang w:val="en"/>
        </w:rPr>
        <w:t>to</w:t>
      </w:r>
      <w:proofErr w:type="spellEnd"/>
      <w:r w:rsidRPr="00B2280E">
        <w:rPr>
          <w:rFonts w:ascii="Arial" w:eastAsia="Times New Roman" w:hAnsi="Arial" w:cs="Arial"/>
          <w:sz w:val="20"/>
          <w:szCs w:val="20"/>
          <w:lang w:val="en"/>
        </w:rPr>
        <w:t xml:space="preserve"> few mitoses and no necrosis, and have traditionally been classified as “carcinoids.” Although the term “carcinoid tumor” remains in widespread use, this term may cause confusion for clinicians, who might view a carcinoid tumor as a serotonin-producing tumor associated with functional manifestations of carcinoid syndrome. The use of the term “carcinoid” for neuroendocrine tumor reporting is therefore discouraged for these reasons.</w:t>
      </w:r>
    </w:p>
    <w:p w14:paraId="6AFFB3CD" w14:textId="77777777" w:rsidR="00B2280E" w:rsidRDefault="00B2280E" w:rsidP="005402BC">
      <w:pPr>
        <w:spacing w:after="0" w:line="276" w:lineRule="auto"/>
        <w:jc w:val="both"/>
        <w:rPr>
          <w:rFonts w:ascii="Arial" w:eastAsia="Times New Roman" w:hAnsi="Arial" w:cs="Arial"/>
          <w:sz w:val="20"/>
          <w:szCs w:val="20"/>
          <w:lang w:val="en"/>
        </w:rPr>
      </w:pPr>
    </w:p>
    <w:p w14:paraId="0781F2DA"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Immunohistochemistry and other ancillary techniques are generally not required to diagnose well-differentiated neuroendocrine tumors. Specific markers that may be used to establish neuroendocrine differentiation include chromogranin A, synaptophysin, INSM1 and CD56.</w:t>
      </w:r>
      <w:hyperlink w:anchor="R38700" w:tooltip="Williams GT. Endocrine tumours of&#10;the gastrointestinal tract: selected topics. Histopathology. 2007;50(1):30-41." w:history="1">
        <w:r w:rsidRPr="00B2280E">
          <w:rPr>
            <w:rStyle w:val="Hyperlink"/>
            <w:rFonts w:ascii="Arial" w:eastAsia="Times New Roman" w:hAnsi="Arial" w:cs="Arial"/>
            <w:sz w:val="20"/>
            <w:szCs w:val="20"/>
            <w:vertAlign w:val="superscript"/>
            <w:lang w:val="en"/>
          </w:rPr>
          <w:t>1,</w:t>
        </w:r>
      </w:hyperlink>
      <w:hyperlink w:anchor="R38701" w:tooltip="Zhang Q, Huang J, He Y, Cao R, Shu J. Insulinoma-associated protein 1(INSM1) is a superior marker for the diagnosis of gastroenteropancreatic neuroendoerine neoplasms: a meta-analysis. Endocrine. 2021;74(1):61-71" w:history="1">
        <w:r w:rsidRPr="00B2280E">
          <w:rPr>
            <w:rStyle w:val="Hyperlink"/>
            <w:rFonts w:ascii="Arial" w:eastAsia="Times New Roman" w:hAnsi="Arial" w:cs="Arial"/>
            <w:sz w:val="20"/>
            <w:szCs w:val="20"/>
            <w:vertAlign w:val="superscript"/>
            <w:lang w:val="en"/>
          </w:rPr>
          <w:t>2,</w:t>
        </w:r>
      </w:hyperlink>
      <w:hyperlink w:anchor="R38702" w:tooltip="McHugh KE, Mukhopadhyay S, Doxtader EE, Lanigan C, Allende DS. INSM1 Is a Highly Specific Marker of Neuroendocrine Differentiation in Primary Neoplasms of the Gastrointestinal Tract, Appendix, and Pancreas. Am J Clin Pathol. 2020;153(6):811-20." w:history="1">
        <w:r w:rsidRPr="00B2280E">
          <w:rPr>
            <w:rStyle w:val="Hyperlink"/>
            <w:rFonts w:ascii="Arial" w:eastAsia="Times New Roman" w:hAnsi="Arial" w:cs="Arial"/>
            <w:sz w:val="20"/>
            <w:szCs w:val="20"/>
            <w:vertAlign w:val="superscript"/>
            <w:lang w:val="en"/>
          </w:rPr>
          <w:t>3</w:t>
        </w:r>
      </w:hyperlink>
      <w:r w:rsidRPr="00B2280E">
        <w:rPr>
          <w:rFonts w:ascii="Arial" w:eastAsia="Times New Roman" w:hAnsi="Arial" w:cs="Arial"/>
          <w:sz w:val="20"/>
          <w:szCs w:val="20"/>
          <w:lang w:val="en"/>
        </w:rPr>
        <w:t> Because of their relative sensitivity and specificity, chromogranin A and synaptophysin are recommended.</w:t>
      </w:r>
    </w:p>
    <w:p w14:paraId="1B5A883C" w14:textId="77777777" w:rsidR="00B2280E" w:rsidRDefault="00B2280E" w:rsidP="005402BC">
      <w:pPr>
        <w:spacing w:after="0" w:line="276" w:lineRule="auto"/>
        <w:jc w:val="both"/>
        <w:rPr>
          <w:rFonts w:ascii="Arial" w:eastAsia="Times New Roman" w:hAnsi="Arial" w:cs="Arial"/>
          <w:sz w:val="20"/>
          <w:szCs w:val="20"/>
          <w:lang w:val="en"/>
        </w:rPr>
      </w:pPr>
    </w:p>
    <w:p w14:paraId="04367A76"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Although specific histologic patterns in well-differentiated neuroendocrine tumors, such as trabecular, insular, and glandular, roughly correlate with tumor location,</w:t>
      </w:r>
      <w:hyperlink w:anchor="R61020" w:tooltip="Soga J. Carcinoids of the colon and ileocecal region: a statistical evaluation of 363 cases collected from the literature. J Exp Clin Cancer Res. 1998;17(2):139-148." w:history="1">
        <w:r w:rsidRPr="00B2280E">
          <w:rPr>
            <w:rStyle w:val="Hyperlink"/>
            <w:rFonts w:ascii="Arial" w:eastAsia="Times New Roman" w:hAnsi="Arial" w:cs="Arial"/>
            <w:sz w:val="20"/>
            <w:szCs w:val="20"/>
            <w:vertAlign w:val="superscript"/>
            <w:lang w:val="en"/>
          </w:rPr>
          <w:t>4</w:t>
        </w:r>
      </w:hyperlink>
      <w:r w:rsidRPr="00B2280E">
        <w:rPr>
          <w:rFonts w:ascii="Arial" w:eastAsia="Times New Roman" w:hAnsi="Arial" w:cs="Arial"/>
          <w:sz w:val="20"/>
          <w:szCs w:val="20"/>
          <w:lang w:val="en"/>
        </w:rPr>
        <w:t> these patterns have not been clearly shown independently to predict response to therapy or risk of nodal metastasis and are rarely reported in clinical practice. Most appendiceal neuroendocrine tumors are derived from enterochromaffin cells. Rarely, L-cell neuroendocrine tumors of the appendix are encountered; because of their distinctive growth pattern of tear-drop-shaped tubules embedded in a fibrous stroma,</w:t>
      </w:r>
      <w:hyperlink w:anchor="R61021" w:tooltip="Iwafuchi M, Watanabe H, Ajioka Y, Shimoda T, Iwashita A, Seiki I. Immunohistochemical and ultrastructural studies of twelve argentaffin and six argyrophil carcinoids of the appendix vermiformis. Hum Pathol. 1990;21(7):773-780." w:history="1">
        <w:r w:rsidRPr="00B2280E">
          <w:rPr>
            <w:rStyle w:val="Hyperlink"/>
            <w:rFonts w:ascii="Arial" w:eastAsia="Times New Roman" w:hAnsi="Arial" w:cs="Arial"/>
            <w:sz w:val="20"/>
            <w:szCs w:val="20"/>
            <w:vertAlign w:val="superscript"/>
            <w:lang w:val="en"/>
          </w:rPr>
          <w:t>5</w:t>
        </w:r>
      </w:hyperlink>
      <w:r w:rsidRPr="00B2280E">
        <w:rPr>
          <w:rFonts w:ascii="Arial" w:eastAsia="Times New Roman" w:hAnsi="Arial" w:cs="Arial"/>
          <w:sz w:val="20"/>
          <w:szCs w:val="20"/>
          <w:lang w:val="en"/>
        </w:rPr>
        <w:t xml:space="preserve"> these lesions are sometimes called tubular neuroendocrine tumors. It should be noted that these tumors are negative for chromogranin A but express </w:t>
      </w:r>
      <w:proofErr w:type="spellStart"/>
      <w:r w:rsidRPr="00B2280E">
        <w:rPr>
          <w:rFonts w:ascii="Arial" w:eastAsia="Times New Roman" w:hAnsi="Arial" w:cs="Arial"/>
          <w:sz w:val="20"/>
          <w:szCs w:val="20"/>
          <w:lang w:val="en"/>
        </w:rPr>
        <w:t>enteroglucagon</w:t>
      </w:r>
      <w:proofErr w:type="spellEnd"/>
      <w:r w:rsidRPr="00B2280E">
        <w:rPr>
          <w:rFonts w:ascii="Arial" w:eastAsia="Times New Roman" w:hAnsi="Arial" w:cs="Arial"/>
          <w:sz w:val="20"/>
          <w:szCs w:val="20"/>
          <w:lang w:val="en"/>
        </w:rPr>
        <w:t>, peptide YY, and pancreatic polypeptide. Tubular neuroendocrine tumors are usually small lesions confined to the appendix and are found in female patients. These lesions exhibit benign behavior and should not be confused with adenocarcinoma.</w:t>
      </w:r>
    </w:p>
    <w:p w14:paraId="07280762" w14:textId="77777777" w:rsidR="00B2280E" w:rsidRDefault="00B2280E" w:rsidP="005402BC">
      <w:pPr>
        <w:spacing w:after="0" w:line="276" w:lineRule="auto"/>
        <w:jc w:val="both"/>
        <w:rPr>
          <w:rFonts w:ascii="Arial" w:eastAsia="Times New Roman" w:hAnsi="Arial" w:cs="Arial"/>
          <w:sz w:val="20"/>
          <w:szCs w:val="20"/>
          <w:lang w:val="en"/>
        </w:rPr>
      </w:pPr>
    </w:p>
    <w:p w14:paraId="1E000558" w14:textId="77777777" w:rsidR="005402BC" w:rsidRDefault="005402BC">
      <w:pPr>
        <w:rPr>
          <w:rFonts w:ascii="Arial" w:eastAsia="Times New Roman" w:hAnsi="Arial" w:cs="Arial"/>
          <w:sz w:val="20"/>
          <w:szCs w:val="20"/>
          <w:lang w:val="en"/>
        </w:rPr>
      </w:pPr>
      <w:r>
        <w:rPr>
          <w:rFonts w:ascii="Arial" w:eastAsia="Times New Roman" w:hAnsi="Arial" w:cs="Arial"/>
          <w:sz w:val="20"/>
          <w:szCs w:val="20"/>
          <w:lang w:val="en"/>
        </w:rPr>
        <w:br w:type="page"/>
      </w:r>
    </w:p>
    <w:p w14:paraId="17BFCEE4" w14:textId="4A684A8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lastRenderedPageBreak/>
        <w:t>References</w:t>
      </w:r>
      <w:bookmarkStart w:id="4" w:name="R38700"/>
    </w:p>
    <w:p w14:paraId="4E6A9CE5" w14:textId="77777777" w:rsidR="00B2280E" w:rsidRPr="00B2280E" w:rsidRDefault="00BC3FE6" w:rsidP="005402BC">
      <w:pPr>
        <w:pStyle w:val="ListParagraph"/>
        <w:numPr>
          <w:ilvl w:val="0"/>
          <w:numId w:val="5"/>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Williams GT. Endocrine </w:t>
      </w:r>
      <w:proofErr w:type="spellStart"/>
      <w:r w:rsidRPr="00B2280E">
        <w:rPr>
          <w:rFonts w:ascii="Arial" w:hAnsi="Arial" w:cs="Arial"/>
          <w:sz w:val="20"/>
          <w:szCs w:val="20"/>
          <w:lang w:val="en"/>
        </w:rPr>
        <w:t>tumours</w:t>
      </w:r>
      <w:proofErr w:type="spellEnd"/>
      <w:r w:rsidRPr="00B2280E">
        <w:rPr>
          <w:rFonts w:ascii="Arial" w:hAnsi="Arial" w:cs="Arial"/>
          <w:sz w:val="20"/>
          <w:szCs w:val="20"/>
          <w:lang w:val="en"/>
        </w:rPr>
        <w:t xml:space="preserve"> of the gastrointestinal tract: selected topics. </w:t>
      </w:r>
      <w:r w:rsidRPr="00B2280E">
        <w:rPr>
          <w:rStyle w:val="Emphasis"/>
          <w:rFonts w:ascii="Arial" w:hAnsi="Arial" w:cs="Arial"/>
          <w:sz w:val="20"/>
          <w:szCs w:val="20"/>
          <w:lang w:val="en"/>
        </w:rPr>
        <w:t>Histopathology</w:t>
      </w:r>
      <w:r w:rsidRPr="00B2280E">
        <w:rPr>
          <w:rFonts w:ascii="Arial" w:hAnsi="Arial" w:cs="Arial"/>
          <w:sz w:val="20"/>
          <w:szCs w:val="20"/>
          <w:lang w:val="en"/>
        </w:rPr>
        <w:t>. 2007;50(1):30-41.</w:t>
      </w:r>
      <w:bookmarkStart w:id="5" w:name="R38701"/>
      <w:bookmarkEnd w:id="4"/>
    </w:p>
    <w:p w14:paraId="3B1F2A64" w14:textId="77777777" w:rsidR="00B2280E" w:rsidRPr="00B2280E" w:rsidRDefault="00BC3FE6" w:rsidP="005402BC">
      <w:pPr>
        <w:pStyle w:val="ListParagraph"/>
        <w:numPr>
          <w:ilvl w:val="0"/>
          <w:numId w:val="5"/>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Zhang Q, Huang J, He Y, Cao R, Shu J. Insulinoma-associated protein 1(INSM1) is a superior marker for the diagnosis of </w:t>
      </w:r>
      <w:proofErr w:type="spellStart"/>
      <w:r w:rsidRPr="00B2280E">
        <w:rPr>
          <w:rFonts w:ascii="Arial" w:hAnsi="Arial" w:cs="Arial"/>
          <w:sz w:val="20"/>
          <w:szCs w:val="20"/>
          <w:lang w:val="en"/>
        </w:rPr>
        <w:t>gastroenteropancreatic</w:t>
      </w:r>
      <w:proofErr w:type="spellEnd"/>
      <w:r w:rsidRPr="00B2280E">
        <w:rPr>
          <w:rFonts w:ascii="Arial" w:hAnsi="Arial" w:cs="Arial"/>
          <w:sz w:val="20"/>
          <w:szCs w:val="20"/>
          <w:lang w:val="en"/>
        </w:rPr>
        <w:t xml:space="preserve"> </w:t>
      </w:r>
      <w:proofErr w:type="spellStart"/>
      <w:r w:rsidRPr="00B2280E">
        <w:rPr>
          <w:rFonts w:ascii="Arial" w:hAnsi="Arial" w:cs="Arial"/>
          <w:sz w:val="20"/>
          <w:szCs w:val="20"/>
          <w:lang w:val="en"/>
        </w:rPr>
        <w:t>neuroendoerine</w:t>
      </w:r>
      <w:proofErr w:type="spellEnd"/>
      <w:r w:rsidRPr="00B2280E">
        <w:rPr>
          <w:rFonts w:ascii="Arial" w:hAnsi="Arial" w:cs="Arial"/>
          <w:sz w:val="20"/>
          <w:szCs w:val="20"/>
          <w:lang w:val="en"/>
        </w:rPr>
        <w:t xml:space="preserve"> neoplasms: a meta-analysis. </w:t>
      </w:r>
      <w:r w:rsidRPr="00B2280E">
        <w:rPr>
          <w:rStyle w:val="Emphasis"/>
          <w:rFonts w:ascii="Arial" w:hAnsi="Arial" w:cs="Arial"/>
          <w:sz w:val="20"/>
          <w:szCs w:val="20"/>
          <w:lang w:val="en"/>
        </w:rPr>
        <w:t>Endocrine.</w:t>
      </w:r>
      <w:r w:rsidRPr="00B2280E">
        <w:rPr>
          <w:rFonts w:ascii="Arial" w:hAnsi="Arial" w:cs="Arial"/>
          <w:sz w:val="20"/>
          <w:szCs w:val="20"/>
          <w:lang w:val="en"/>
        </w:rPr>
        <w:t xml:space="preserve"> 2021;74(1):61-71</w:t>
      </w:r>
      <w:bookmarkStart w:id="6" w:name="R38702"/>
      <w:bookmarkEnd w:id="5"/>
    </w:p>
    <w:p w14:paraId="22BF5B03" w14:textId="77777777" w:rsidR="00B2280E" w:rsidRPr="00B2280E" w:rsidRDefault="00BC3FE6" w:rsidP="005402BC">
      <w:pPr>
        <w:pStyle w:val="ListParagraph"/>
        <w:numPr>
          <w:ilvl w:val="0"/>
          <w:numId w:val="5"/>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McHugh KE, Mukhopadhyay S, Doxtader EE, Lanigan C, Allende DS. INSM1 Is a Highly Specific Marker of Neuroendocrine Differentiation in Primary Neoplasms of the Gastrointestinal Tract, Appendix, and Pancreas. </w:t>
      </w:r>
      <w:r w:rsidRPr="00B2280E">
        <w:rPr>
          <w:rStyle w:val="Emphasis"/>
          <w:rFonts w:ascii="Arial" w:hAnsi="Arial" w:cs="Arial"/>
          <w:sz w:val="20"/>
          <w:szCs w:val="20"/>
          <w:lang w:val="en"/>
        </w:rPr>
        <w:t xml:space="preserve">Am J Clin </w:t>
      </w:r>
      <w:proofErr w:type="spellStart"/>
      <w:r w:rsidRPr="00B2280E">
        <w:rPr>
          <w:rStyle w:val="Emphasis"/>
          <w:rFonts w:ascii="Arial" w:hAnsi="Arial" w:cs="Arial"/>
          <w:sz w:val="20"/>
          <w:szCs w:val="20"/>
          <w:lang w:val="en"/>
        </w:rPr>
        <w:t>Pathol</w:t>
      </w:r>
      <w:proofErr w:type="spellEnd"/>
      <w:r w:rsidRPr="00B2280E">
        <w:rPr>
          <w:rStyle w:val="Emphasis"/>
          <w:rFonts w:ascii="Arial" w:hAnsi="Arial" w:cs="Arial"/>
          <w:sz w:val="20"/>
          <w:szCs w:val="20"/>
          <w:lang w:val="en"/>
        </w:rPr>
        <w:t>.</w:t>
      </w:r>
      <w:r w:rsidRPr="00B2280E">
        <w:rPr>
          <w:rFonts w:ascii="Arial" w:hAnsi="Arial" w:cs="Arial"/>
          <w:sz w:val="20"/>
          <w:szCs w:val="20"/>
          <w:lang w:val="en"/>
        </w:rPr>
        <w:t xml:space="preserve"> 2020;153(6):811-20.</w:t>
      </w:r>
      <w:bookmarkStart w:id="7" w:name="R61020"/>
      <w:bookmarkEnd w:id="6"/>
    </w:p>
    <w:p w14:paraId="23652827" w14:textId="77777777" w:rsidR="00B2280E" w:rsidRDefault="00BC3FE6" w:rsidP="005402BC">
      <w:pPr>
        <w:pStyle w:val="ListParagraph"/>
        <w:numPr>
          <w:ilvl w:val="0"/>
          <w:numId w:val="5"/>
        </w:num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Soga J. Carcinoids of the colon and ileocecal region: a statistical evaluation of 363 cases collected from the literature.</w:t>
      </w:r>
      <w:r w:rsidRPr="00B2280E">
        <w:rPr>
          <w:rStyle w:val="Emphasis"/>
          <w:rFonts w:ascii="Arial" w:eastAsia="Times New Roman" w:hAnsi="Arial" w:cs="Arial"/>
          <w:sz w:val="20"/>
          <w:szCs w:val="20"/>
          <w:lang w:val="en"/>
        </w:rPr>
        <w:t xml:space="preserve"> J Exp Clin Cancer Res.</w:t>
      </w:r>
      <w:r w:rsidRPr="00B2280E">
        <w:rPr>
          <w:rFonts w:ascii="Arial" w:eastAsia="Times New Roman" w:hAnsi="Arial" w:cs="Arial"/>
          <w:sz w:val="20"/>
          <w:szCs w:val="20"/>
          <w:lang w:val="en"/>
        </w:rPr>
        <w:t xml:space="preserve"> 1998;17(2):139-148.</w:t>
      </w:r>
      <w:bookmarkStart w:id="8" w:name="R61021"/>
      <w:bookmarkEnd w:id="7"/>
    </w:p>
    <w:p w14:paraId="5CCA0316" w14:textId="77777777" w:rsidR="00B2280E" w:rsidRDefault="00BC3FE6" w:rsidP="005402BC">
      <w:pPr>
        <w:pStyle w:val="ListParagraph"/>
        <w:numPr>
          <w:ilvl w:val="0"/>
          <w:numId w:val="5"/>
        </w:numPr>
        <w:spacing w:after="0" w:line="276" w:lineRule="auto"/>
        <w:jc w:val="both"/>
        <w:rPr>
          <w:rFonts w:ascii="Arial" w:eastAsia="Times New Roman" w:hAnsi="Arial" w:cs="Arial"/>
          <w:sz w:val="20"/>
          <w:szCs w:val="20"/>
          <w:lang w:val="en"/>
        </w:rPr>
      </w:pPr>
      <w:proofErr w:type="spellStart"/>
      <w:r w:rsidRPr="00B2280E">
        <w:rPr>
          <w:rFonts w:ascii="Arial" w:eastAsia="Times New Roman" w:hAnsi="Arial" w:cs="Arial"/>
          <w:sz w:val="20"/>
          <w:szCs w:val="20"/>
          <w:lang w:val="en"/>
        </w:rPr>
        <w:t>Iwafuchi</w:t>
      </w:r>
      <w:proofErr w:type="spellEnd"/>
      <w:r w:rsidRPr="00B2280E">
        <w:rPr>
          <w:rFonts w:ascii="Arial" w:eastAsia="Times New Roman" w:hAnsi="Arial" w:cs="Arial"/>
          <w:sz w:val="20"/>
          <w:szCs w:val="20"/>
          <w:lang w:val="en"/>
        </w:rPr>
        <w:t xml:space="preserve"> M, Watanabe H, </w:t>
      </w:r>
      <w:proofErr w:type="spellStart"/>
      <w:r w:rsidRPr="00B2280E">
        <w:rPr>
          <w:rFonts w:ascii="Arial" w:eastAsia="Times New Roman" w:hAnsi="Arial" w:cs="Arial"/>
          <w:sz w:val="20"/>
          <w:szCs w:val="20"/>
          <w:lang w:val="en"/>
        </w:rPr>
        <w:t>Ajioka</w:t>
      </w:r>
      <w:proofErr w:type="spellEnd"/>
      <w:r w:rsidRPr="00B2280E">
        <w:rPr>
          <w:rFonts w:ascii="Arial" w:eastAsia="Times New Roman" w:hAnsi="Arial" w:cs="Arial"/>
          <w:sz w:val="20"/>
          <w:szCs w:val="20"/>
          <w:lang w:val="en"/>
        </w:rPr>
        <w:t xml:space="preserve"> Y, Shimoda T, Iwashita A, Seiki I. Immunohistochemical and ultrastructural studies of twelve argentaffin and six </w:t>
      </w:r>
      <w:proofErr w:type="spellStart"/>
      <w:r w:rsidRPr="00B2280E">
        <w:rPr>
          <w:rFonts w:ascii="Arial" w:eastAsia="Times New Roman" w:hAnsi="Arial" w:cs="Arial"/>
          <w:sz w:val="20"/>
          <w:szCs w:val="20"/>
          <w:lang w:val="en"/>
        </w:rPr>
        <w:t>argyrophil</w:t>
      </w:r>
      <w:proofErr w:type="spellEnd"/>
      <w:r w:rsidRPr="00B2280E">
        <w:rPr>
          <w:rFonts w:ascii="Arial" w:eastAsia="Times New Roman" w:hAnsi="Arial" w:cs="Arial"/>
          <w:sz w:val="20"/>
          <w:szCs w:val="20"/>
          <w:lang w:val="en"/>
        </w:rPr>
        <w:t xml:space="preserve"> carcinoids of the appendix </w:t>
      </w:r>
      <w:proofErr w:type="spellStart"/>
      <w:r w:rsidRPr="00B2280E">
        <w:rPr>
          <w:rFonts w:ascii="Arial" w:eastAsia="Times New Roman" w:hAnsi="Arial" w:cs="Arial"/>
          <w:sz w:val="20"/>
          <w:szCs w:val="20"/>
          <w:lang w:val="en"/>
        </w:rPr>
        <w:t>vermiformis</w:t>
      </w:r>
      <w:proofErr w:type="spellEnd"/>
      <w:r w:rsidRPr="00B2280E">
        <w:rPr>
          <w:rFonts w:ascii="Arial" w:eastAsia="Times New Roman" w:hAnsi="Arial" w:cs="Arial"/>
          <w:sz w:val="20"/>
          <w:szCs w:val="20"/>
          <w:lang w:val="en"/>
        </w:rPr>
        <w:t xml:space="preserve">. </w:t>
      </w:r>
      <w:r w:rsidRPr="00B2280E">
        <w:rPr>
          <w:rStyle w:val="Emphasis"/>
          <w:rFonts w:ascii="Arial" w:eastAsia="Times New Roman" w:hAnsi="Arial" w:cs="Arial"/>
          <w:sz w:val="20"/>
          <w:szCs w:val="20"/>
          <w:lang w:val="en"/>
        </w:rPr>
        <w:t xml:space="preserve">Hum </w:t>
      </w:r>
      <w:proofErr w:type="spellStart"/>
      <w:r w:rsidRPr="00B2280E">
        <w:rPr>
          <w:rStyle w:val="Emphasis"/>
          <w:rFonts w:ascii="Arial" w:eastAsia="Times New Roman" w:hAnsi="Arial" w:cs="Arial"/>
          <w:sz w:val="20"/>
          <w:szCs w:val="20"/>
          <w:lang w:val="en"/>
        </w:rPr>
        <w:t>Pathol</w:t>
      </w:r>
      <w:proofErr w:type="spellEnd"/>
      <w:r w:rsidRPr="00B2280E">
        <w:rPr>
          <w:rFonts w:ascii="Arial" w:eastAsia="Times New Roman" w:hAnsi="Arial" w:cs="Arial"/>
          <w:sz w:val="20"/>
          <w:szCs w:val="20"/>
          <w:lang w:val="en"/>
        </w:rPr>
        <w:t>. 1990;21(7):773-780.</w:t>
      </w:r>
      <w:bookmarkStart w:id="9" w:name="N9012"/>
      <w:bookmarkEnd w:id="8"/>
    </w:p>
    <w:p w14:paraId="733C1F91" w14:textId="77777777" w:rsidR="00B2280E" w:rsidRDefault="00B2280E" w:rsidP="005402BC">
      <w:pPr>
        <w:spacing w:after="0" w:line="276" w:lineRule="auto"/>
        <w:jc w:val="both"/>
        <w:rPr>
          <w:rFonts w:ascii="Arial" w:eastAsia="Times New Roman" w:hAnsi="Arial" w:cs="Arial"/>
          <w:b/>
          <w:bCs/>
          <w:sz w:val="20"/>
          <w:szCs w:val="20"/>
          <w:lang w:val="en"/>
        </w:rPr>
      </w:pPr>
    </w:p>
    <w:p w14:paraId="27DCA940"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b/>
          <w:bCs/>
          <w:sz w:val="20"/>
          <w:szCs w:val="20"/>
          <w:lang w:val="en"/>
        </w:rPr>
        <w:t>C. Histologic Grade</w:t>
      </w:r>
      <w:bookmarkEnd w:id="9"/>
    </w:p>
    <w:p w14:paraId="5A92ECD3"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Cytologic atypia in well differentiated neuroendocrine tumors has no impact on clinical behavior of these tumors. The WHO classification</w:t>
      </w:r>
      <w:hyperlink w:anchor="R38709" w:tooltip="WHO&#10;Classification of Tumours Editorial Board. Digestive system tumours.&#10;Lyon (France): International Agency for Research on Cancer; 2019. (WHO&#10;classification of tumours series, 5th ed.; vol. 1)." w:history="1">
        <w:r w:rsidRPr="00B2280E">
          <w:rPr>
            <w:rStyle w:val="Hyperlink"/>
            <w:rFonts w:ascii="Arial" w:hAnsi="Arial" w:cs="Arial"/>
            <w:sz w:val="20"/>
            <w:szCs w:val="20"/>
            <w:vertAlign w:val="superscript"/>
            <w:lang w:val="en"/>
          </w:rPr>
          <w:t>1</w:t>
        </w:r>
      </w:hyperlink>
      <w:r w:rsidRPr="00B2280E">
        <w:rPr>
          <w:rFonts w:ascii="Arial" w:hAnsi="Arial" w:cs="Arial"/>
          <w:sz w:val="20"/>
          <w:szCs w:val="20"/>
          <w:lang w:val="en"/>
        </w:rPr>
        <w:t> and others</w:t>
      </w:r>
      <w:hyperlink w:anchor="R38703" w:tooltip="Rindi G, Kloppel G, Alhman H, et al; and all other&#10;Frascati Consensus Conference participants; European Neuroendocrine Tumor&#10;Society (ENETS). TNM staging of foregut (neuro)endocrine tumors: a consensus&#10;proposal including a grading system. Virchows Arch. 2006;4" w:history="1">
        <w:r w:rsidRPr="00B2280E">
          <w:rPr>
            <w:rStyle w:val="Hyperlink"/>
            <w:rFonts w:ascii="Arial" w:hAnsi="Arial" w:cs="Arial"/>
            <w:sz w:val="20"/>
            <w:szCs w:val="20"/>
            <w:vertAlign w:val="superscript"/>
            <w:lang w:val="en"/>
          </w:rPr>
          <w:t>2</w:t>
        </w:r>
      </w:hyperlink>
      <w:r w:rsidRPr="00B2280E">
        <w:rPr>
          <w:rFonts w:ascii="Arial" w:hAnsi="Arial" w:cs="Arial"/>
          <w:sz w:val="20"/>
          <w:szCs w:val="20"/>
          <w:lang w:val="en"/>
        </w:rPr>
        <w:t> use mitotic rate and/or Ki-67 index as one of the criteria for potential for aggressive behavior. Mitotic rate should be reported as number of mitoses per 2 mm</w:t>
      </w:r>
      <w:r w:rsidRPr="00B2280E">
        <w:rPr>
          <w:rFonts w:ascii="Arial" w:hAnsi="Arial" w:cs="Arial"/>
          <w:sz w:val="20"/>
          <w:szCs w:val="20"/>
          <w:vertAlign w:val="superscript"/>
          <w:lang w:val="en"/>
        </w:rPr>
        <w:t>2</w:t>
      </w:r>
      <w:r w:rsidRPr="00B2280E">
        <w:rPr>
          <w:rFonts w:ascii="Arial" w:hAnsi="Arial" w:cs="Arial"/>
          <w:sz w:val="20"/>
          <w:szCs w:val="20"/>
          <w:lang w:val="en"/>
        </w:rPr>
        <w:t>, by evaluating at least 10mm</w:t>
      </w:r>
      <w:r w:rsidRPr="00B2280E">
        <w:rPr>
          <w:rFonts w:ascii="Arial" w:hAnsi="Arial" w:cs="Arial"/>
          <w:sz w:val="20"/>
          <w:szCs w:val="20"/>
          <w:vertAlign w:val="superscript"/>
          <w:lang w:val="en"/>
        </w:rPr>
        <w:t>2</w:t>
      </w:r>
      <w:r w:rsidRPr="00B2280E">
        <w:rPr>
          <w:rFonts w:ascii="Arial" w:hAnsi="Arial" w:cs="Arial"/>
          <w:sz w:val="20"/>
          <w:szCs w:val="20"/>
          <w:lang w:val="en"/>
        </w:rPr>
        <w:t xml:space="preserve"> in the most mitotically active part of the tumor. Only clearly identifiable mitotic figures should be counted; hyperchromatic, karyorrhectic, or apoptotic nuclei are excluded. Because of variations in field size, the number of high-power fields (HPF) (at 40X magnification) for10 mm</w:t>
      </w:r>
      <w:r w:rsidRPr="00B2280E">
        <w:rPr>
          <w:rFonts w:ascii="Arial" w:hAnsi="Arial" w:cs="Arial"/>
          <w:sz w:val="20"/>
          <w:szCs w:val="20"/>
          <w:vertAlign w:val="superscript"/>
          <w:lang w:val="en"/>
        </w:rPr>
        <w:t>2</w:t>
      </w:r>
      <w:r w:rsidRPr="00B2280E">
        <w:rPr>
          <w:rFonts w:ascii="Arial" w:hAnsi="Arial" w:cs="Arial"/>
          <w:sz w:val="20"/>
          <w:szCs w:val="20"/>
          <w:lang w:val="en"/>
        </w:rPr>
        <w:t xml:space="preserve"> (thereby 2 mm</w:t>
      </w:r>
      <w:r w:rsidRPr="00B2280E">
        <w:rPr>
          <w:rFonts w:ascii="Arial" w:hAnsi="Arial" w:cs="Arial"/>
          <w:sz w:val="20"/>
          <w:szCs w:val="20"/>
          <w:vertAlign w:val="superscript"/>
          <w:lang w:val="en"/>
        </w:rPr>
        <w:t>2</w:t>
      </w:r>
      <w:r w:rsidRPr="00B2280E">
        <w:rPr>
          <w:rFonts w:ascii="Arial" w:hAnsi="Arial" w:cs="Arial"/>
          <w:sz w:val="20"/>
          <w:szCs w:val="20"/>
          <w:lang w:val="en"/>
        </w:rPr>
        <w:t>) must be determined for each microscope (Table 1). For example, if using a microscope with a field diameter of 0.55 mm, count 42 HPF and divide the resulting number of mitoses by 5 to determine the number of mitoses per 2 mm</w:t>
      </w:r>
      <w:proofErr w:type="gramStart"/>
      <w:r w:rsidRPr="00B2280E">
        <w:rPr>
          <w:rFonts w:ascii="Arial" w:hAnsi="Arial" w:cs="Arial"/>
          <w:sz w:val="20"/>
          <w:szCs w:val="20"/>
          <w:vertAlign w:val="superscript"/>
          <w:lang w:val="en"/>
        </w:rPr>
        <w:t xml:space="preserve">2  </w:t>
      </w:r>
      <w:r w:rsidRPr="00B2280E">
        <w:rPr>
          <w:rFonts w:ascii="Arial" w:hAnsi="Arial" w:cs="Arial"/>
          <w:sz w:val="20"/>
          <w:szCs w:val="20"/>
          <w:lang w:val="en"/>
        </w:rPr>
        <w:t>needed</w:t>
      </w:r>
      <w:proofErr w:type="gramEnd"/>
      <w:r w:rsidRPr="00B2280E">
        <w:rPr>
          <w:rFonts w:ascii="Arial" w:hAnsi="Arial" w:cs="Arial"/>
          <w:sz w:val="20"/>
          <w:szCs w:val="20"/>
          <w:lang w:val="en"/>
        </w:rPr>
        <w:t xml:space="preserve"> to assign tumor grade.</w:t>
      </w:r>
    </w:p>
    <w:p w14:paraId="3DF0B479" w14:textId="77777777" w:rsidR="00B2280E" w:rsidRDefault="00B2280E" w:rsidP="005402BC">
      <w:pPr>
        <w:spacing w:after="0" w:line="276" w:lineRule="auto"/>
        <w:jc w:val="both"/>
        <w:rPr>
          <w:rStyle w:val="Strong"/>
          <w:rFonts w:ascii="Arial" w:hAnsi="Arial" w:cs="Arial"/>
          <w:bCs w:val="0"/>
          <w:sz w:val="20"/>
          <w:szCs w:val="20"/>
          <w:lang w:val="en"/>
        </w:rPr>
      </w:pPr>
    </w:p>
    <w:p w14:paraId="4D444AC1" w14:textId="51943637" w:rsidR="00BC3FE6" w:rsidRPr="00B2280E" w:rsidRDefault="00BC3FE6" w:rsidP="005402BC">
      <w:pPr>
        <w:spacing w:after="0" w:line="276" w:lineRule="auto"/>
        <w:jc w:val="both"/>
        <w:rPr>
          <w:rFonts w:ascii="Arial" w:eastAsia="Times New Roman" w:hAnsi="Arial" w:cs="Arial"/>
          <w:sz w:val="20"/>
          <w:szCs w:val="20"/>
          <w:lang w:val="en"/>
        </w:rPr>
      </w:pPr>
      <w:r w:rsidRPr="00B2280E">
        <w:rPr>
          <w:rStyle w:val="Strong"/>
          <w:rFonts w:ascii="Arial" w:hAnsi="Arial" w:cs="Arial"/>
          <w:bCs w:val="0"/>
          <w:sz w:val="20"/>
          <w:szCs w:val="20"/>
          <w:lang w:val="en"/>
        </w:rPr>
        <w:t>Table 1. Number of HPF Required for 10 mm</w:t>
      </w:r>
      <w:r w:rsidRPr="00B2280E">
        <w:rPr>
          <w:rStyle w:val="Strong"/>
          <w:rFonts w:ascii="Arial" w:hAnsi="Arial" w:cs="Arial"/>
          <w:bCs w:val="0"/>
          <w:sz w:val="20"/>
          <w:szCs w:val="20"/>
          <w:vertAlign w:val="superscript"/>
          <w:lang w:val="en"/>
        </w:rPr>
        <w:t>2</w:t>
      </w:r>
      <w:r w:rsidRPr="00B2280E">
        <w:rPr>
          <w:rStyle w:val="Strong"/>
          <w:rFonts w:ascii="Arial" w:hAnsi="Arial" w:cs="Arial"/>
          <w:bCs w:val="0"/>
          <w:sz w:val="20"/>
          <w:szCs w:val="20"/>
          <w:lang w:val="en"/>
        </w:rPr>
        <w:t xml:space="preserve"> Using Microscopes </w:t>
      </w:r>
      <w:proofErr w:type="gramStart"/>
      <w:r w:rsidRPr="00B2280E">
        <w:rPr>
          <w:rStyle w:val="Strong"/>
          <w:rFonts w:ascii="Arial" w:hAnsi="Arial" w:cs="Arial"/>
          <w:bCs w:val="0"/>
          <w:sz w:val="20"/>
          <w:szCs w:val="20"/>
          <w:lang w:val="en"/>
        </w:rPr>
        <w:t>With</w:t>
      </w:r>
      <w:proofErr w:type="gramEnd"/>
      <w:r w:rsidRPr="00B2280E">
        <w:rPr>
          <w:rStyle w:val="Strong"/>
          <w:rFonts w:ascii="Arial" w:hAnsi="Arial" w:cs="Arial"/>
          <w:bCs w:val="0"/>
          <w:sz w:val="20"/>
          <w:szCs w:val="20"/>
          <w:lang w:val="en"/>
        </w:rPr>
        <w:t xml:space="preserve"> Different Field Diameter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162"/>
        <w:gridCol w:w="4092"/>
      </w:tblGrid>
      <w:tr w:rsidR="00C817A6" w:rsidRPr="00B2280E" w14:paraId="1DECCE7C"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4FF4B1EB" w14:textId="77777777" w:rsidR="00BC3FE6" w:rsidRPr="00B2280E" w:rsidRDefault="00BC3FE6" w:rsidP="00B2280E">
            <w:pPr>
              <w:autoSpaceDN w:val="0"/>
              <w:spacing w:after="0" w:line="276" w:lineRule="auto"/>
              <w:rPr>
                <w:rFonts w:ascii="Arial" w:hAnsi="Arial" w:cs="Arial"/>
                <w:sz w:val="18"/>
                <w:szCs w:val="18"/>
              </w:rPr>
            </w:pPr>
            <w:r w:rsidRPr="00B2280E">
              <w:rPr>
                <w:rStyle w:val="Strong"/>
                <w:rFonts w:ascii="Arial" w:hAnsi="Arial" w:cs="Arial"/>
                <w:bCs w:val="0"/>
                <w:kern w:val="18"/>
                <w:sz w:val="18"/>
                <w:szCs w:val="18"/>
              </w:rPr>
              <w:t>Field Diameter (mm)</w:t>
            </w:r>
          </w:p>
        </w:tc>
        <w:tc>
          <w:tcPr>
            <w:tcW w:w="1156" w:type="pct"/>
            <w:tcBorders>
              <w:top w:val="single" w:sz="4" w:space="0" w:color="auto"/>
              <w:left w:val="single" w:sz="4" w:space="0" w:color="auto"/>
              <w:bottom w:val="single" w:sz="4" w:space="0" w:color="auto"/>
              <w:right w:val="single" w:sz="4" w:space="0" w:color="auto"/>
            </w:tcBorders>
            <w:hideMark/>
          </w:tcPr>
          <w:p w14:paraId="795A5C1C" w14:textId="77777777" w:rsidR="00BC3FE6" w:rsidRPr="00B2280E" w:rsidRDefault="00BC3FE6" w:rsidP="00B2280E">
            <w:pPr>
              <w:autoSpaceDN w:val="0"/>
              <w:spacing w:after="0" w:line="276" w:lineRule="auto"/>
              <w:rPr>
                <w:rFonts w:ascii="Arial" w:hAnsi="Arial" w:cs="Arial"/>
                <w:sz w:val="18"/>
                <w:szCs w:val="18"/>
              </w:rPr>
            </w:pPr>
            <w:r w:rsidRPr="00B2280E">
              <w:rPr>
                <w:rStyle w:val="Strong"/>
                <w:rFonts w:ascii="Arial" w:hAnsi="Arial" w:cs="Arial"/>
                <w:bCs w:val="0"/>
                <w:kern w:val="18"/>
                <w:sz w:val="18"/>
                <w:szCs w:val="18"/>
              </w:rPr>
              <w:t>Area (mm</w:t>
            </w:r>
            <w:r w:rsidRPr="00B2280E">
              <w:rPr>
                <w:rStyle w:val="Strong"/>
                <w:rFonts w:ascii="Arial" w:hAnsi="Arial" w:cs="Arial"/>
                <w:bCs w:val="0"/>
                <w:kern w:val="18"/>
                <w:sz w:val="18"/>
                <w:szCs w:val="18"/>
                <w:vertAlign w:val="superscript"/>
              </w:rPr>
              <w:t>2</w:t>
            </w:r>
            <w:r w:rsidRPr="00B2280E">
              <w:rPr>
                <w:rStyle w:val="Strong"/>
                <w:rFonts w:ascii="Arial" w:hAnsi="Arial" w:cs="Arial"/>
                <w:bCs w:val="0"/>
                <w:kern w:val="18"/>
                <w:sz w:val="18"/>
                <w:szCs w:val="18"/>
              </w:rPr>
              <w:t>)</w:t>
            </w:r>
          </w:p>
        </w:tc>
        <w:tc>
          <w:tcPr>
            <w:tcW w:w="2188" w:type="pct"/>
            <w:tcBorders>
              <w:top w:val="single" w:sz="4" w:space="0" w:color="auto"/>
              <w:left w:val="single" w:sz="4" w:space="0" w:color="auto"/>
              <w:bottom w:val="single" w:sz="4" w:space="0" w:color="auto"/>
              <w:right w:val="single" w:sz="4" w:space="0" w:color="auto"/>
            </w:tcBorders>
            <w:hideMark/>
          </w:tcPr>
          <w:p w14:paraId="1A8C92EA" w14:textId="77777777" w:rsidR="00BC3FE6" w:rsidRPr="00B2280E" w:rsidRDefault="00BC3FE6" w:rsidP="00B2280E">
            <w:pPr>
              <w:autoSpaceDN w:val="0"/>
              <w:spacing w:after="0" w:line="276" w:lineRule="auto"/>
              <w:rPr>
                <w:rFonts w:ascii="Arial" w:hAnsi="Arial" w:cs="Arial"/>
                <w:sz w:val="18"/>
                <w:szCs w:val="18"/>
              </w:rPr>
            </w:pPr>
            <w:r w:rsidRPr="00B2280E">
              <w:rPr>
                <w:rStyle w:val="Strong"/>
                <w:rFonts w:ascii="Arial" w:hAnsi="Arial" w:cs="Arial"/>
                <w:bCs w:val="0"/>
                <w:kern w:val="18"/>
                <w:sz w:val="18"/>
                <w:szCs w:val="18"/>
              </w:rPr>
              <w:t>Number of HPF for 10 mm</w:t>
            </w:r>
            <w:r w:rsidRPr="00B2280E">
              <w:rPr>
                <w:rStyle w:val="Strong"/>
                <w:rFonts w:ascii="Arial" w:hAnsi="Arial" w:cs="Arial"/>
                <w:bCs w:val="0"/>
                <w:kern w:val="18"/>
                <w:sz w:val="18"/>
                <w:szCs w:val="18"/>
                <w:vertAlign w:val="superscript"/>
              </w:rPr>
              <w:t>2</w:t>
            </w:r>
          </w:p>
        </w:tc>
      </w:tr>
      <w:tr w:rsidR="00C817A6" w:rsidRPr="00B2280E" w14:paraId="033CC5F0"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20BA3CB9"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0.40</w:t>
            </w:r>
          </w:p>
        </w:tc>
        <w:tc>
          <w:tcPr>
            <w:tcW w:w="1156" w:type="pct"/>
            <w:tcBorders>
              <w:top w:val="single" w:sz="4" w:space="0" w:color="auto"/>
              <w:left w:val="single" w:sz="4" w:space="0" w:color="auto"/>
              <w:bottom w:val="single" w:sz="4" w:space="0" w:color="auto"/>
              <w:right w:val="single" w:sz="4" w:space="0" w:color="auto"/>
            </w:tcBorders>
            <w:hideMark/>
          </w:tcPr>
          <w:p w14:paraId="23B8383C"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0.125</w:t>
            </w:r>
          </w:p>
        </w:tc>
        <w:tc>
          <w:tcPr>
            <w:tcW w:w="2188" w:type="pct"/>
            <w:tcBorders>
              <w:top w:val="single" w:sz="4" w:space="0" w:color="auto"/>
              <w:left w:val="single" w:sz="4" w:space="0" w:color="auto"/>
              <w:bottom w:val="single" w:sz="4" w:space="0" w:color="auto"/>
              <w:right w:val="single" w:sz="4" w:space="0" w:color="auto"/>
            </w:tcBorders>
            <w:hideMark/>
          </w:tcPr>
          <w:p w14:paraId="6D522405"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80</w:t>
            </w:r>
          </w:p>
        </w:tc>
      </w:tr>
      <w:tr w:rsidR="00C817A6" w:rsidRPr="00B2280E" w14:paraId="620C08E8"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4D822DE0"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0.41</w:t>
            </w:r>
          </w:p>
        </w:tc>
        <w:tc>
          <w:tcPr>
            <w:tcW w:w="1156" w:type="pct"/>
            <w:tcBorders>
              <w:top w:val="single" w:sz="4" w:space="0" w:color="auto"/>
              <w:left w:val="single" w:sz="4" w:space="0" w:color="auto"/>
              <w:bottom w:val="single" w:sz="4" w:space="0" w:color="auto"/>
              <w:right w:val="single" w:sz="4" w:space="0" w:color="auto"/>
            </w:tcBorders>
            <w:hideMark/>
          </w:tcPr>
          <w:p w14:paraId="1626D23B"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0.132</w:t>
            </w:r>
          </w:p>
        </w:tc>
        <w:tc>
          <w:tcPr>
            <w:tcW w:w="2188" w:type="pct"/>
            <w:tcBorders>
              <w:top w:val="single" w:sz="4" w:space="0" w:color="auto"/>
              <w:left w:val="single" w:sz="4" w:space="0" w:color="auto"/>
              <w:bottom w:val="single" w:sz="4" w:space="0" w:color="auto"/>
              <w:right w:val="single" w:sz="4" w:space="0" w:color="auto"/>
            </w:tcBorders>
            <w:hideMark/>
          </w:tcPr>
          <w:p w14:paraId="6A5BE27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75</w:t>
            </w:r>
          </w:p>
        </w:tc>
      </w:tr>
      <w:tr w:rsidR="00C817A6" w:rsidRPr="00B2280E" w14:paraId="546691C8"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02BE9B0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0.42</w:t>
            </w:r>
          </w:p>
        </w:tc>
        <w:tc>
          <w:tcPr>
            <w:tcW w:w="1156" w:type="pct"/>
            <w:tcBorders>
              <w:top w:val="single" w:sz="4" w:space="0" w:color="auto"/>
              <w:left w:val="single" w:sz="4" w:space="0" w:color="auto"/>
              <w:bottom w:val="single" w:sz="4" w:space="0" w:color="auto"/>
              <w:right w:val="single" w:sz="4" w:space="0" w:color="auto"/>
            </w:tcBorders>
            <w:hideMark/>
          </w:tcPr>
          <w:p w14:paraId="654E20DA"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0.139</w:t>
            </w:r>
          </w:p>
        </w:tc>
        <w:tc>
          <w:tcPr>
            <w:tcW w:w="2188" w:type="pct"/>
            <w:tcBorders>
              <w:top w:val="single" w:sz="4" w:space="0" w:color="auto"/>
              <w:left w:val="single" w:sz="4" w:space="0" w:color="auto"/>
              <w:bottom w:val="single" w:sz="4" w:space="0" w:color="auto"/>
              <w:right w:val="single" w:sz="4" w:space="0" w:color="auto"/>
            </w:tcBorders>
            <w:hideMark/>
          </w:tcPr>
          <w:p w14:paraId="014F25B7"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70</w:t>
            </w:r>
          </w:p>
        </w:tc>
      </w:tr>
      <w:tr w:rsidR="00C817A6" w:rsidRPr="00B2280E" w14:paraId="0E84A3EC"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7DF37740"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0.43</w:t>
            </w:r>
          </w:p>
        </w:tc>
        <w:tc>
          <w:tcPr>
            <w:tcW w:w="1156" w:type="pct"/>
            <w:tcBorders>
              <w:top w:val="single" w:sz="4" w:space="0" w:color="auto"/>
              <w:left w:val="single" w:sz="4" w:space="0" w:color="auto"/>
              <w:bottom w:val="single" w:sz="4" w:space="0" w:color="auto"/>
              <w:right w:val="single" w:sz="4" w:space="0" w:color="auto"/>
            </w:tcBorders>
            <w:hideMark/>
          </w:tcPr>
          <w:p w14:paraId="0032D681"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0.145</w:t>
            </w:r>
          </w:p>
        </w:tc>
        <w:tc>
          <w:tcPr>
            <w:tcW w:w="2188" w:type="pct"/>
            <w:tcBorders>
              <w:top w:val="single" w:sz="4" w:space="0" w:color="auto"/>
              <w:left w:val="single" w:sz="4" w:space="0" w:color="auto"/>
              <w:bottom w:val="single" w:sz="4" w:space="0" w:color="auto"/>
              <w:right w:val="single" w:sz="4" w:space="0" w:color="auto"/>
            </w:tcBorders>
            <w:hideMark/>
          </w:tcPr>
          <w:p w14:paraId="395BB6E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69</w:t>
            </w:r>
          </w:p>
        </w:tc>
      </w:tr>
      <w:tr w:rsidR="00C817A6" w:rsidRPr="00B2280E" w14:paraId="7A0EC7C0"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11915B1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0.44</w:t>
            </w:r>
          </w:p>
        </w:tc>
        <w:tc>
          <w:tcPr>
            <w:tcW w:w="1156" w:type="pct"/>
            <w:tcBorders>
              <w:top w:val="single" w:sz="4" w:space="0" w:color="auto"/>
              <w:left w:val="single" w:sz="4" w:space="0" w:color="auto"/>
              <w:bottom w:val="single" w:sz="4" w:space="0" w:color="auto"/>
              <w:right w:val="single" w:sz="4" w:space="0" w:color="auto"/>
            </w:tcBorders>
            <w:hideMark/>
          </w:tcPr>
          <w:p w14:paraId="106070B4"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0.152</w:t>
            </w:r>
          </w:p>
        </w:tc>
        <w:tc>
          <w:tcPr>
            <w:tcW w:w="2188" w:type="pct"/>
            <w:tcBorders>
              <w:top w:val="single" w:sz="4" w:space="0" w:color="auto"/>
              <w:left w:val="single" w:sz="4" w:space="0" w:color="auto"/>
              <w:bottom w:val="single" w:sz="4" w:space="0" w:color="auto"/>
              <w:right w:val="single" w:sz="4" w:space="0" w:color="auto"/>
            </w:tcBorders>
            <w:hideMark/>
          </w:tcPr>
          <w:p w14:paraId="5ED059B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65</w:t>
            </w:r>
          </w:p>
        </w:tc>
      </w:tr>
      <w:tr w:rsidR="00C817A6" w:rsidRPr="00B2280E" w14:paraId="32D86659"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2411FDC6"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0.45</w:t>
            </w:r>
          </w:p>
        </w:tc>
        <w:tc>
          <w:tcPr>
            <w:tcW w:w="1156" w:type="pct"/>
            <w:tcBorders>
              <w:top w:val="single" w:sz="4" w:space="0" w:color="auto"/>
              <w:left w:val="single" w:sz="4" w:space="0" w:color="auto"/>
              <w:bottom w:val="single" w:sz="4" w:space="0" w:color="auto"/>
              <w:right w:val="single" w:sz="4" w:space="0" w:color="auto"/>
            </w:tcBorders>
            <w:hideMark/>
          </w:tcPr>
          <w:p w14:paraId="6141537E"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0.159</w:t>
            </w:r>
          </w:p>
        </w:tc>
        <w:tc>
          <w:tcPr>
            <w:tcW w:w="2188" w:type="pct"/>
            <w:tcBorders>
              <w:top w:val="single" w:sz="4" w:space="0" w:color="auto"/>
              <w:left w:val="single" w:sz="4" w:space="0" w:color="auto"/>
              <w:bottom w:val="single" w:sz="4" w:space="0" w:color="auto"/>
              <w:right w:val="single" w:sz="4" w:space="0" w:color="auto"/>
            </w:tcBorders>
            <w:hideMark/>
          </w:tcPr>
          <w:p w14:paraId="222CFC51"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63</w:t>
            </w:r>
          </w:p>
        </w:tc>
      </w:tr>
      <w:tr w:rsidR="00C817A6" w:rsidRPr="00B2280E" w14:paraId="5C0EB143"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32DB43A4"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0.46</w:t>
            </w:r>
          </w:p>
        </w:tc>
        <w:tc>
          <w:tcPr>
            <w:tcW w:w="1156" w:type="pct"/>
            <w:tcBorders>
              <w:top w:val="single" w:sz="4" w:space="0" w:color="auto"/>
              <w:left w:val="single" w:sz="4" w:space="0" w:color="auto"/>
              <w:bottom w:val="single" w:sz="4" w:space="0" w:color="auto"/>
              <w:right w:val="single" w:sz="4" w:space="0" w:color="auto"/>
            </w:tcBorders>
            <w:hideMark/>
          </w:tcPr>
          <w:p w14:paraId="20BEC63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0.166</w:t>
            </w:r>
          </w:p>
        </w:tc>
        <w:tc>
          <w:tcPr>
            <w:tcW w:w="2188" w:type="pct"/>
            <w:tcBorders>
              <w:top w:val="single" w:sz="4" w:space="0" w:color="auto"/>
              <w:left w:val="single" w:sz="4" w:space="0" w:color="auto"/>
              <w:bottom w:val="single" w:sz="4" w:space="0" w:color="auto"/>
              <w:right w:val="single" w:sz="4" w:space="0" w:color="auto"/>
            </w:tcBorders>
            <w:hideMark/>
          </w:tcPr>
          <w:p w14:paraId="51C70B70"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60</w:t>
            </w:r>
          </w:p>
        </w:tc>
      </w:tr>
      <w:tr w:rsidR="00C817A6" w:rsidRPr="00B2280E" w14:paraId="37942A67"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3AB32E8F"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0.47</w:t>
            </w:r>
          </w:p>
        </w:tc>
        <w:tc>
          <w:tcPr>
            <w:tcW w:w="1156" w:type="pct"/>
            <w:tcBorders>
              <w:top w:val="single" w:sz="4" w:space="0" w:color="auto"/>
              <w:left w:val="single" w:sz="4" w:space="0" w:color="auto"/>
              <w:bottom w:val="single" w:sz="4" w:space="0" w:color="auto"/>
              <w:right w:val="single" w:sz="4" w:space="0" w:color="auto"/>
            </w:tcBorders>
            <w:hideMark/>
          </w:tcPr>
          <w:p w14:paraId="070DE7EA"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0.173</w:t>
            </w:r>
          </w:p>
        </w:tc>
        <w:tc>
          <w:tcPr>
            <w:tcW w:w="2188" w:type="pct"/>
            <w:tcBorders>
              <w:top w:val="single" w:sz="4" w:space="0" w:color="auto"/>
              <w:left w:val="single" w:sz="4" w:space="0" w:color="auto"/>
              <w:bottom w:val="single" w:sz="4" w:space="0" w:color="auto"/>
              <w:right w:val="single" w:sz="4" w:space="0" w:color="auto"/>
            </w:tcBorders>
            <w:hideMark/>
          </w:tcPr>
          <w:p w14:paraId="3B86A5D2"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58</w:t>
            </w:r>
          </w:p>
        </w:tc>
      </w:tr>
      <w:tr w:rsidR="00C817A6" w:rsidRPr="00B2280E" w14:paraId="28ABC3E0"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4A2B8556"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0.48</w:t>
            </w:r>
          </w:p>
        </w:tc>
        <w:tc>
          <w:tcPr>
            <w:tcW w:w="1156" w:type="pct"/>
            <w:tcBorders>
              <w:top w:val="single" w:sz="4" w:space="0" w:color="auto"/>
              <w:left w:val="single" w:sz="4" w:space="0" w:color="auto"/>
              <w:bottom w:val="single" w:sz="4" w:space="0" w:color="auto"/>
              <w:right w:val="single" w:sz="4" w:space="0" w:color="auto"/>
            </w:tcBorders>
            <w:hideMark/>
          </w:tcPr>
          <w:p w14:paraId="02A71EDF"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0.181</w:t>
            </w:r>
          </w:p>
        </w:tc>
        <w:tc>
          <w:tcPr>
            <w:tcW w:w="2188" w:type="pct"/>
            <w:tcBorders>
              <w:top w:val="single" w:sz="4" w:space="0" w:color="auto"/>
              <w:left w:val="single" w:sz="4" w:space="0" w:color="auto"/>
              <w:bottom w:val="single" w:sz="4" w:space="0" w:color="auto"/>
              <w:right w:val="single" w:sz="4" w:space="0" w:color="auto"/>
            </w:tcBorders>
            <w:hideMark/>
          </w:tcPr>
          <w:p w14:paraId="6057F055"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55</w:t>
            </w:r>
          </w:p>
        </w:tc>
      </w:tr>
      <w:tr w:rsidR="00C817A6" w:rsidRPr="00B2280E" w14:paraId="5D29C924"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60862E6E"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0.49</w:t>
            </w:r>
          </w:p>
        </w:tc>
        <w:tc>
          <w:tcPr>
            <w:tcW w:w="1156" w:type="pct"/>
            <w:tcBorders>
              <w:top w:val="single" w:sz="4" w:space="0" w:color="auto"/>
              <w:left w:val="single" w:sz="4" w:space="0" w:color="auto"/>
              <w:bottom w:val="single" w:sz="4" w:space="0" w:color="auto"/>
              <w:right w:val="single" w:sz="4" w:space="0" w:color="auto"/>
            </w:tcBorders>
            <w:hideMark/>
          </w:tcPr>
          <w:p w14:paraId="16B02BCC"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0.189</w:t>
            </w:r>
          </w:p>
        </w:tc>
        <w:tc>
          <w:tcPr>
            <w:tcW w:w="2188" w:type="pct"/>
            <w:tcBorders>
              <w:top w:val="single" w:sz="4" w:space="0" w:color="auto"/>
              <w:left w:val="single" w:sz="4" w:space="0" w:color="auto"/>
              <w:bottom w:val="single" w:sz="4" w:space="0" w:color="auto"/>
              <w:right w:val="single" w:sz="4" w:space="0" w:color="auto"/>
            </w:tcBorders>
            <w:hideMark/>
          </w:tcPr>
          <w:p w14:paraId="7F8CF1EB"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53</w:t>
            </w:r>
          </w:p>
        </w:tc>
      </w:tr>
      <w:tr w:rsidR="00C817A6" w:rsidRPr="00B2280E" w14:paraId="35B84138"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27166530"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0.50</w:t>
            </w:r>
          </w:p>
        </w:tc>
        <w:tc>
          <w:tcPr>
            <w:tcW w:w="1156" w:type="pct"/>
            <w:tcBorders>
              <w:top w:val="single" w:sz="4" w:space="0" w:color="auto"/>
              <w:left w:val="single" w:sz="4" w:space="0" w:color="auto"/>
              <w:bottom w:val="single" w:sz="4" w:space="0" w:color="auto"/>
              <w:right w:val="single" w:sz="4" w:space="0" w:color="auto"/>
            </w:tcBorders>
            <w:hideMark/>
          </w:tcPr>
          <w:p w14:paraId="2134A6A0"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0.196</w:t>
            </w:r>
          </w:p>
        </w:tc>
        <w:tc>
          <w:tcPr>
            <w:tcW w:w="2188" w:type="pct"/>
            <w:tcBorders>
              <w:top w:val="single" w:sz="4" w:space="0" w:color="auto"/>
              <w:left w:val="single" w:sz="4" w:space="0" w:color="auto"/>
              <w:bottom w:val="single" w:sz="4" w:space="0" w:color="auto"/>
              <w:right w:val="single" w:sz="4" w:space="0" w:color="auto"/>
            </w:tcBorders>
            <w:hideMark/>
          </w:tcPr>
          <w:p w14:paraId="7BE906D6"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50</w:t>
            </w:r>
          </w:p>
        </w:tc>
      </w:tr>
      <w:tr w:rsidR="00C817A6" w:rsidRPr="00B2280E" w14:paraId="356EEE49"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78AAD662"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0.51</w:t>
            </w:r>
          </w:p>
        </w:tc>
        <w:tc>
          <w:tcPr>
            <w:tcW w:w="1156" w:type="pct"/>
            <w:tcBorders>
              <w:top w:val="single" w:sz="4" w:space="0" w:color="auto"/>
              <w:left w:val="single" w:sz="4" w:space="0" w:color="auto"/>
              <w:bottom w:val="single" w:sz="4" w:space="0" w:color="auto"/>
              <w:right w:val="single" w:sz="4" w:space="0" w:color="auto"/>
            </w:tcBorders>
            <w:hideMark/>
          </w:tcPr>
          <w:p w14:paraId="4CEF7406"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0.204</w:t>
            </w:r>
          </w:p>
        </w:tc>
        <w:tc>
          <w:tcPr>
            <w:tcW w:w="2188" w:type="pct"/>
            <w:tcBorders>
              <w:top w:val="single" w:sz="4" w:space="0" w:color="auto"/>
              <w:left w:val="single" w:sz="4" w:space="0" w:color="auto"/>
              <w:bottom w:val="single" w:sz="4" w:space="0" w:color="auto"/>
              <w:right w:val="single" w:sz="4" w:space="0" w:color="auto"/>
            </w:tcBorders>
            <w:hideMark/>
          </w:tcPr>
          <w:p w14:paraId="1942DEED"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49</w:t>
            </w:r>
          </w:p>
        </w:tc>
      </w:tr>
      <w:tr w:rsidR="00C817A6" w:rsidRPr="00B2280E" w14:paraId="64F8F3FE"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7BB8253B"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0.52</w:t>
            </w:r>
          </w:p>
        </w:tc>
        <w:tc>
          <w:tcPr>
            <w:tcW w:w="1156" w:type="pct"/>
            <w:tcBorders>
              <w:top w:val="single" w:sz="4" w:space="0" w:color="auto"/>
              <w:left w:val="single" w:sz="4" w:space="0" w:color="auto"/>
              <w:bottom w:val="single" w:sz="4" w:space="0" w:color="auto"/>
              <w:right w:val="single" w:sz="4" w:space="0" w:color="auto"/>
            </w:tcBorders>
            <w:hideMark/>
          </w:tcPr>
          <w:p w14:paraId="627949E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0.212</w:t>
            </w:r>
          </w:p>
        </w:tc>
        <w:tc>
          <w:tcPr>
            <w:tcW w:w="2188" w:type="pct"/>
            <w:tcBorders>
              <w:top w:val="single" w:sz="4" w:space="0" w:color="auto"/>
              <w:left w:val="single" w:sz="4" w:space="0" w:color="auto"/>
              <w:bottom w:val="single" w:sz="4" w:space="0" w:color="auto"/>
              <w:right w:val="single" w:sz="4" w:space="0" w:color="auto"/>
            </w:tcBorders>
            <w:hideMark/>
          </w:tcPr>
          <w:p w14:paraId="621544B0"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47</w:t>
            </w:r>
          </w:p>
        </w:tc>
      </w:tr>
      <w:tr w:rsidR="00C817A6" w:rsidRPr="00B2280E" w14:paraId="21BF52DE"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3DB5523B"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0.53</w:t>
            </w:r>
          </w:p>
        </w:tc>
        <w:tc>
          <w:tcPr>
            <w:tcW w:w="1156" w:type="pct"/>
            <w:tcBorders>
              <w:top w:val="single" w:sz="4" w:space="0" w:color="auto"/>
              <w:left w:val="single" w:sz="4" w:space="0" w:color="auto"/>
              <w:bottom w:val="single" w:sz="4" w:space="0" w:color="auto"/>
              <w:right w:val="single" w:sz="4" w:space="0" w:color="auto"/>
            </w:tcBorders>
            <w:hideMark/>
          </w:tcPr>
          <w:p w14:paraId="70207E0B"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0.221</w:t>
            </w:r>
          </w:p>
        </w:tc>
        <w:tc>
          <w:tcPr>
            <w:tcW w:w="2188" w:type="pct"/>
            <w:tcBorders>
              <w:top w:val="single" w:sz="4" w:space="0" w:color="auto"/>
              <w:left w:val="single" w:sz="4" w:space="0" w:color="auto"/>
              <w:bottom w:val="single" w:sz="4" w:space="0" w:color="auto"/>
              <w:right w:val="single" w:sz="4" w:space="0" w:color="auto"/>
            </w:tcBorders>
            <w:hideMark/>
          </w:tcPr>
          <w:p w14:paraId="29905951"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45</w:t>
            </w:r>
          </w:p>
        </w:tc>
      </w:tr>
      <w:tr w:rsidR="00C817A6" w:rsidRPr="00B2280E" w14:paraId="27268F2B"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43DACB57"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0.54</w:t>
            </w:r>
          </w:p>
        </w:tc>
        <w:tc>
          <w:tcPr>
            <w:tcW w:w="1156" w:type="pct"/>
            <w:tcBorders>
              <w:top w:val="single" w:sz="4" w:space="0" w:color="auto"/>
              <w:left w:val="single" w:sz="4" w:space="0" w:color="auto"/>
              <w:bottom w:val="single" w:sz="4" w:space="0" w:color="auto"/>
              <w:right w:val="single" w:sz="4" w:space="0" w:color="auto"/>
            </w:tcBorders>
            <w:hideMark/>
          </w:tcPr>
          <w:p w14:paraId="3BB7A764"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0.229</w:t>
            </w:r>
          </w:p>
        </w:tc>
        <w:tc>
          <w:tcPr>
            <w:tcW w:w="2188" w:type="pct"/>
            <w:tcBorders>
              <w:top w:val="single" w:sz="4" w:space="0" w:color="auto"/>
              <w:left w:val="single" w:sz="4" w:space="0" w:color="auto"/>
              <w:bottom w:val="single" w:sz="4" w:space="0" w:color="auto"/>
              <w:right w:val="single" w:sz="4" w:space="0" w:color="auto"/>
            </w:tcBorders>
            <w:hideMark/>
          </w:tcPr>
          <w:p w14:paraId="0F9D788E"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44</w:t>
            </w:r>
          </w:p>
        </w:tc>
      </w:tr>
      <w:tr w:rsidR="00C817A6" w:rsidRPr="00B2280E" w14:paraId="2D520F93"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0D4F2536"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0.55</w:t>
            </w:r>
          </w:p>
        </w:tc>
        <w:tc>
          <w:tcPr>
            <w:tcW w:w="1156" w:type="pct"/>
            <w:tcBorders>
              <w:top w:val="single" w:sz="4" w:space="0" w:color="auto"/>
              <w:left w:val="single" w:sz="4" w:space="0" w:color="auto"/>
              <w:bottom w:val="single" w:sz="4" w:space="0" w:color="auto"/>
              <w:right w:val="single" w:sz="4" w:space="0" w:color="auto"/>
            </w:tcBorders>
            <w:hideMark/>
          </w:tcPr>
          <w:p w14:paraId="30535220"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0.238</w:t>
            </w:r>
          </w:p>
        </w:tc>
        <w:tc>
          <w:tcPr>
            <w:tcW w:w="2188" w:type="pct"/>
            <w:tcBorders>
              <w:top w:val="single" w:sz="4" w:space="0" w:color="auto"/>
              <w:left w:val="single" w:sz="4" w:space="0" w:color="auto"/>
              <w:bottom w:val="single" w:sz="4" w:space="0" w:color="auto"/>
              <w:right w:val="single" w:sz="4" w:space="0" w:color="auto"/>
            </w:tcBorders>
            <w:hideMark/>
          </w:tcPr>
          <w:p w14:paraId="0782505F"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42</w:t>
            </w:r>
          </w:p>
        </w:tc>
      </w:tr>
      <w:tr w:rsidR="00C817A6" w:rsidRPr="00B2280E" w14:paraId="37141400"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402C43AF"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0.56</w:t>
            </w:r>
          </w:p>
        </w:tc>
        <w:tc>
          <w:tcPr>
            <w:tcW w:w="1156" w:type="pct"/>
            <w:tcBorders>
              <w:top w:val="single" w:sz="4" w:space="0" w:color="auto"/>
              <w:left w:val="single" w:sz="4" w:space="0" w:color="auto"/>
              <w:bottom w:val="single" w:sz="4" w:space="0" w:color="auto"/>
              <w:right w:val="single" w:sz="4" w:space="0" w:color="auto"/>
            </w:tcBorders>
            <w:hideMark/>
          </w:tcPr>
          <w:p w14:paraId="7D2D5CC6"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0.246</w:t>
            </w:r>
          </w:p>
        </w:tc>
        <w:tc>
          <w:tcPr>
            <w:tcW w:w="2188" w:type="pct"/>
            <w:tcBorders>
              <w:top w:val="single" w:sz="4" w:space="0" w:color="auto"/>
              <w:left w:val="single" w:sz="4" w:space="0" w:color="auto"/>
              <w:bottom w:val="single" w:sz="4" w:space="0" w:color="auto"/>
              <w:right w:val="single" w:sz="4" w:space="0" w:color="auto"/>
            </w:tcBorders>
            <w:hideMark/>
          </w:tcPr>
          <w:p w14:paraId="504D0DB7"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41</w:t>
            </w:r>
          </w:p>
        </w:tc>
      </w:tr>
      <w:tr w:rsidR="00C817A6" w:rsidRPr="00B2280E" w14:paraId="0C09F07D"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18501AC5"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0.57</w:t>
            </w:r>
          </w:p>
        </w:tc>
        <w:tc>
          <w:tcPr>
            <w:tcW w:w="1156" w:type="pct"/>
            <w:tcBorders>
              <w:top w:val="single" w:sz="4" w:space="0" w:color="auto"/>
              <w:left w:val="single" w:sz="4" w:space="0" w:color="auto"/>
              <w:bottom w:val="single" w:sz="4" w:space="0" w:color="auto"/>
              <w:right w:val="single" w:sz="4" w:space="0" w:color="auto"/>
            </w:tcBorders>
            <w:hideMark/>
          </w:tcPr>
          <w:p w14:paraId="541FB814"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0.255</w:t>
            </w:r>
          </w:p>
        </w:tc>
        <w:tc>
          <w:tcPr>
            <w:tcW w:w="2188" w:type="pct"/>
            <w:tcBorders>
              <w:top w:val="single" w:sz="4" w:space="0" w:color="auto"/>
              <w:left w:val="single" w:sz="4" w:space="0" w:color="auto"/>
              <w:bottom w:val="single" w:sz="4" w:space="0" w:color="auto"/>
              <w:right w:val="single" w:sz="4" w:space="0" w:color="auto"/>
            </w:tcBorders>
            <w:hideMark/>
          </w:tcPr>
          <w:p w14:paraId="5FE5C02A"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39</w:t>
            </w:r>
          </w:p>
        </w:tc>
      </w:tr>
      <w:tr w:rsidR="00C817A6" w:rsidRPr="00B2280E" w14:paraId="66B82724"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745BAE1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0.58</w:t>
            </w:r>
          </w:p>
        </w:tc>
        <w:tc>
          <w:tcPr>
            <w:tcW w:w="1156" w:type="pct"/>
            <w:tcBorders>
              <w:top w:val="single" w:sz="4" w:space="0" w:color="auto"/>
              <w:left w:val="single" w:sz="4" w:space="0" w:color="auto"/>
              <w:bottom w:val="single" w:sz="4" w:space="0" w:color="auto"/>
              <w:right w:val="single" w:sz="4" w:space="0" w:color="auto"/>
            </w:tcBorders>
            <w:hideMark/>
          </w:tcPr>
          <w:p w14:paraId="7C32C1E1"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0.264</w:t>
            </w:r>
          </w:p>
        </w:tc>
        <w:tc>
          <w:tcPr>
            <w:tcW w:w="2188" w:type="pct"/>
            <w:tcBorders>
              <w:top w:val="single" w:sz="4" w:space="0" w:color="auto"/>
              <w:left w:val="single" w:sz="4" w:space="0" w:color="auto"/>
              <w:bottom w:val="single" w:sz="4" w:space="0" w:color="auto"/>
              <w:right w:val="single" w:sz="4" w:space="0" w:color="auto"/>
            </w:tcBorders>
            <w:hideMark/>
          </w:tcPr>
          <w:p w14:paraId="4244DBFC"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38</w:t>
            </w:r>
          </w:p>
        </w:tc>
      </w:tr>
      <w:tr w:rsidR="00C817A6" w:rsidRPr="00B2280E" w14:paraId="4C717CB1"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41C26CB1"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lastRenderedPageBreak/>
              <w:t>0.59</w:t>
            </w:r>
          </w:p>
        </w:tc>
        <w:tc>
          <w:tcPr>
            <w:tcW w:w="1156" w:type="pct"/>
            <w:tcBorders>
              <w:top w:val="single" w:sz="4" w:space="0" w:color="auto"/>
              <w:left w:val="single" w:sz="4" w:space="0" w:color="auto"/>
              <w:bottom w:val="single" w:sz="4" w:space="0" w:color="auto"/>
              <w:right w:val="single" w:sz="4" w:space="0" w:color="auto"/>
            </w:tcBorders>
            <w:hideMark/>
          </w:tcPr>
          <w:p w14:paraId="5AD08942"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0.273</w:t>
            </w:r>
          </w:p>
        </w:tc>
        <w:tc>
          <w:tcPr>
            <w:tcW w:w="2188" w:type="pct"/>
            <w:tcBorders>
              <w:top w:val="single" w:sz="4" w:space="0" w:color="auto"/>
              <w:left w:val="single" w:sz="4" w:space="0" w:color="auto"/>
              <w:bottom w:val="single" w:sz="4" w:space="0" w:color="auto"/>
              <w:right w:val="single" w:sz="4" w:space="0" w:color="auto"/>
            </w:tcBorders>
            <w:hideMark/>
          </w:tcPr>
          <w:p w14:paraId="0D2E835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37</w:t>
            </w:r>
          </w:p>
        </w:tc>
      </w:tr>
      <w:tr w:rsidR="00C817A6" w:rsidRPr="00B2280E" w14:paraId="2F5660D7"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38C97535"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0.60</w:t>
            </w:r>
          </w:p>
        </w:tc>
        <w:tc>
          <w:tcPr>
            <w:tcW w:w="1156" w:type="pct"/>
            <w:tcBorders>
              <w:top w:val="single" w:sz="4" w:space="0" w:color="auto"/>
              <w:left w:val="single" w:sz="4" w:space="0" w:color="auto"/>
              <w:bottom w:val="single" w:sz="4" w:space="0" w:color="auto"/>
              <w:right w:val="single" w:sz="4" w:space="0" w:color="auto"/>
            </w:tcBorders>
            <w:hideMark/>
          </w:tcPr>
          <w:p w14:paraId="23A2431B"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0.283</w:t>
            </w:r>
          </w:p>
        </w:tc>
        <w:tc>
          <w:tcPr>
            <w:tcW w:w="2188" w:type="pct"/>
            <w:tcBorders>
              <w:top w:val="single" w:sz="4" w:space="0" w:color="auto"/>
              <w:left w:val="single" w:sz="4" w:space="0" w:color="auto"/>
              <w:bottom w:val="single" w:sz="4" w:space="0" w:color="auto"/>
              <w:right w:val="single" w:sz="4" w:space="0" w:color="auto"/>
            </w:tcBorders>
            <w:hideMark/>
          </w:tcPr>
          <w:p w14:paraId="22F515E9"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35</w:t>
            </w:r>
          </w:p>
        </w:tc>
      </w:tr>
      <w:tr w:rsidR="00C817A6" w:rsidRPr="00B2280E" w14:paraId="7B3DE40D"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1FCDDFBD"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0.61</w:t>
            </w:r>
          </w:p>
        </w:tc>
        <w:tc>
          <w:tcPr>
            <w:tcW w:w="1156" w:type="pct"/>
            <w:tcBorders>
              <w:top w:val="single" w:sz="4" w:space="0" w:color="auto"/>
              <w:left w:val="single" w:sz="4" w:space="0" w:color="auto"/>
              <w:bottom w:val="single" w:sz="4" w:space="0" w:color="auto"/>
              <w:right w:val="single" w:sz="4" w:space="0" w:color="auto"/>
            </w:tcBorders>
            <w:hideMark/>
          </w:tcPr>
          <w:p w14:paraId="380D2203"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0.292</w:t>
            </w:r>
          </w:p>
        </w:tc>
        <w:tc>
          <w:tcPr>
            <w:tcW w:w="2188" w:type="pct"/>
            <w:tcBorders>
              <w:top w:val="single" w:sz="4" w:space="0" w:color="auto"/>
              <w:left w:val="single" w:sz="4" w:space="0" w:color="auto"/>
              <w:bottom w:val="single" w:sz="4" w:space="0" w:color="auto"/>
              <w:right w:val="single" w:sz="4" w:space="0" w:color="auto"/>
            </w:tcBorders>
            <w:hideMark/>
          </w:tcPr>
          <w:p w14:paraId="6ADEAA73"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34</w:t>
            </w:r>
          </w:p>
        </w:tc>
      </w:tr>
      <w:tr w:rsidR="00C817A6" w:rsidRPr="00B2280E" w14:paraId="70304A09"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1062C4AE"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0.62</w:t>
            </w:r>
          </w:p>
        </w:tc>
        <w:tc>
          <w:tcPr>
            <w:tcW w:w="1156" w:type="pct"/>
            <w:tcBorders>
              <w:top w:val="single" w:sz="4" w:space="0" w:color="auto"/>
              <w:left w:val="single" w:sz="4" w:space="0" w:color="auto"/>
              <w:bottom w:val="single" w:sz="4" w:space="0" w:color="auto"/>
              <w:right w:val="single" w:sz="4" w:space="0" w:color="auto"/>
            </w:tcBorders>
            <w:hideMark/>
          </w:tcPr>
          <w:p w14:paraId="382007BA"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0.302</w:t>
            </w:r>
          </w:p>
        </w:tc>
        <w:tc>
          <w:tcPr>
            <w:tcW w:w="2188" w:type="pct"/>
            <w:tcBorders>
              <w:top w:val="single" w:sz="4" w:space="0" w:color="auto"/>
              <w:left w:val="single" w:sz="4" w:space="0" w:color="auto"/>
              <w:bottom w:val="single" w:sz="4" w:space="0" w:color="auto"/>
              <w:right w:val="single" w:sz="4" w:space="0" w:color="auto"/>
            </w:tcBorders>
            <w:hideMark/>
          </w:tcPr>
          <w:p w14:paraId="3FD52D1B"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33</w:t>
            </w:r>
          </w:p>
        </w:tc>
      </w:tr>
      <w:tr w:rsidR="00C817A6" w:rsidRPr="00B2280E" w14:paraId="24B8F23E"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07952453"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0.63</w:t>
            </w:r>
          </w:p>
        </w:tc>
        <w:tc>
          <w:tcPr>
            <w:tcW w:w="1156" w:type="pct"/>
            <w:tcBorders>
              <w:top w:val="single" w:sz="4" w:space="0" w:color="auto"/>
              <w:left w:val="single" w:sz="4" w:space="0" w:color="auto"/>
              <w:bottom w:val="single" w:sz="4" w:space="0" w:color="auto"/>
              <w:right w:val="single" w:sz="4" w:space="0" w:color="auto"/>
            </w:tcBorders>
            <w:hideMark/>
          </w:tcPr>
          <w:p w14:paraId="7F9F2ABD"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0.312</w:t>
            </w:r>
          </w:p>
        </w:tc>
        <w:tc>
          <w:tcPr>
            <w:tcW w:w="2188" w:type="pct"/>
            <w:tcBorders>
              <w:top w:val="single" w:sz="4" w:space="0" w:color="auto"/>
              <w:left w:val="single" w:sz="4" w:space="0" w:color="auto"/>
              <w:bottom w:val="single" w:sz="4" w:space="0" w:color="auto"/>
              <w:right w:val="single" w:sz="4" w:space="0" w:color="auto"/>
            </w:tcBorders>
            <w:hideMark/>
          </w:tcPr>
          <w:p w14:paraId="1837836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32</w:t>
            </w:r>
          </w:p>
        </w:tc>
      </w:tr>
      <w:tr w:rsidR="00C817A6" w:rsidRPr="00B2280E" w14:paraId="0D87DB25"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6631F69C"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0.64</w:t>
            </w:r>
          </w:p>
        </w:tc>
        <w:tc>
          <w:tcPr>
            <w:tcW w:w="1156" w:type="pct"/>
            <w:tcBorders>
              <w:top w:val="single" w:sz="4" w:space="0" w:color="auto"/>
              <w:left w:val="single" w:sz="4" w:space="0" w:color="auto"/>
              <w:bottom w:val="single" w:sz="4" w:space="0" w:color="auto"/>
              <w:right w:val="single" w:sz="4" w:space="0" w:color="auto"/>
            </w:tcBorders>
            <w:hideMark/>
          </w:tcPr>
          <w:p w14:paraId="25CEA075"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0.322</w:t>
            </w:r>
          </w:p>
        </w:tc>
        <w:tc>
          <w:tcPr>
            <w:tcW w:w="2188" w:type="pct"/>
            <w:tcBorders>
              <w:top w:val="single" w:sz="4" w:space="0" w:color="auto"/>
              <w:left w:val="single" w:sz="4" w:space="0" w:color="auto"/>
              <w:bottom w:val="single" w:sz="4" w:space="0" w:color="auto"/>
              <w:right w:val="single" w:sz="4" w:space="0" w:color="auto"/>
            </w:tcBorders>
            <w:hideMark/>
          </w:tcPr>
          <w:p w14:paraId="02EE5D8F"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31</w:t>
            </w:r>
          </w:p>
        </w:tc>
      </w:tr>
      <w:tr w:rsidR="00C817A6" w:rsidRPr="00B2280E" w14:paraId="0E01E9EC"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2FEEC3A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0.65</w:t>
            </w:r>
          </w:p>
        </w:tc>
        <w:tc>
          <w:tcPr>
            <w:tcW w:w="1156" w:type="pct"/>
            <w:tcBorders>
              <w:top w:val="single" w:sz="4" w:space="0" w:color="auto"/>
              <w:left w:val="single" w:sz="4" w:space="0" w:color="auto"/>
              <w:bottom w:val="single" w:sz="4" w:space="0" w:color="auto"/>
              <w:right w:val="single" w:sz="4" w:space="0" w:color="auto"/>
            </w:tcBorders>
            <w:hideMark/>
          </w:tcPr>
          <w:p w14:paraId="75D4CAC3"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0.332</w:t>
            </w:r>
          </w:p>
        </w:tc>
        <w:tc>
          <w:tcPr>
            <w:tcW w:w="2188" w:type="pct"/>
            <w:tcBorders>
              <w:top w:val="single" w:sz="4" w:space="0" w:color="auto"/>
              <w:left w:val="single" w:sz="4" w:space="0" w:color="auto"/>
              <w:bottom w:val="single" w:sz="4" w:space="0" w:color="auto"/>
              <w:right w:val="single" w:sz="4" w:space="0" w:color="auto"/>
            </w:tcBorders>
            <w:hideMark/>
          </w:tcPr>
          <w:p w14:paraId="7F7386A8"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30</w:t>
            </w:r>
          </w:p>
        </w:tc>
      </w:tr>
      <w:tr w:rsidR="00C817A6" w:rsidRPr="00B2280E" w14:paraId="0B0462F4"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7A77C531"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0.66</w:t>
            </w:r>
          </w:p>
        </w:tc>
        <w:tc>
          <w:tcPr>
            <w:tcW w:w="1156" w:type="pct"/>
            <w:tcBorders>
              <w:top w:val="single" w:sz="4" w:space="0" w:color="auto"/>
              <w:left w:val="single" w:sz="4" w:space="0" w:color="auto"/>
              <w:bottom w:val="single" w:sz="4" w:space="0" w:color="auto"/>
              <w:right w:val="single" w:sz="4" w:space="0" w:color="auto"/>
            </w:tcBorders>
            <w:hideMark/>
          </w:tcPr>
          <w:p w14:paraId="5FD4ED6C"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0.342</w:t>
            </w:r>
          </w:p>
        </w:tc>
        <w:tc>
          <w:tcPr>
            <w:tcW w:w="2188" w:type="pct"/>
            <w:tcBorders>
              <w:top w:val="single" w:sz="4" w:space="0" w:color="auto"/>
              <w:left w:val="single" w:sz="4" w:space="0" w:color="auto"/>
              <w:bottom w:val="single" w:sz="4" w:space="0" w:color="auto"/>
              <w:right w:val="single" w:sz="4" w:space="0" w:color="auto"/>
            </w:tcBorders>
            <w:hideMark/>
          </w:tcPr>
          <w:p w14:paraId="06A5358F"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29</w:t>
            </w:r>
          </w:p>
        </w:tc>
      </w:tr>
      <w:tr w:rsidR="00C817A6" w:rsidRPr="00B2280E" w14:paraId="4D086845"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4254E05D"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0.67</w:t>
            </w:r>
          </w:p>
        </w:tc>
        <w:tc>
          <w:tcPr>
            <w:tcW w:w="1156" w:type="pct"/>
            <w:tcBorders>
              <w:top w:val="single" w:sz="4" w:space="0" w:color="auto"/>
              <w:left w:val="single" w:sz="4" w:space="0" w:color="auto"/>
              <w:bottom w:val="single" w:sz="4" w:space="0" w:color="auto"/>
              <w:right w:val="single" w:sz="4" w:space="0" w:color="auto"/>
            </w:tcBorders>
            <w:hideMark/>
          </w:tcPr>
          <w:p w14:paraId="4D3032B1"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0.353</w:t>
            </w:r>
          </w:p>
        </w:tc>
        <w:tc>
          <w:tcPr>
            <w:tcW w:w="2188" w:type="pct"/>
            <w:tcBorders>
              <w:top w:val="single" w:sz="4" w:space="0" w:color="auto"/>
              <w:left w:val="single" w:sz="4" w:space="0" w:color="auto"/>
              <w:bottom w:val="single" w:sz="4" w:space="0" w:color="auto"/>
              <w:right w:val="single" w:sz="4" w:space="0" w:color="auto"/>
            </w:tcBorders>
            <w:hideMark/>
          </w:tcPr>
          <w:p w14:paraId="4D158126"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28</w:t>
            </w:r>
          </w:p>
        </w:tc>
      </w:tr>
      <w:tr w:rsidR="00C817A6" w:rsidRPr="00B2280E" w14:paraId="2447EB90"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5694F442"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0.68</w:t>
            </w:r>
          </w:p>
        </w:tc>
        <w:tc>
          <w:tcPr>
            <w:tcW w:w="1156" w:type="pct"/>
            <w:tcBorders>
              <w:top w:val="single" w:sz="4" w:space="0" w:color="auto"/>
              <w:left w:val="single" w:sz="4" w:space="0" w:color="auto"/>
              <w:bottom w:val="single" w:sz="4" w:space="0" w:color="auto"/>
              <w:right w:val="single" w:sz="4" w:space="0" w:color="auto"/>
            </w:tcBorders>
            <w:hideMark/>
          </w:tcPr>
          <w:p w14:paraId="2B6B75F9"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0.363</w:t>
            </w:r>
          </w:p>
        </w:tc>
        <w:tc>
          <w:tcPr>
            <w:tcW w:w="2188" w:type="pct"/>
            <w:tcBorders>
              <w:top w:val="single" w:sz="4" w:space="0" w:color="auto"/>
              <w:left w:val="single" w:sz="4" w:space="0" w:color="auto"/>
              <w:bottom w:val="single" w:sz="4" w:space="0" w:color="auto"/>
              <w:right w:val="single" w:sz="4" w:space="0" w:color="auto"/>
            </w:tcBorders>
            <w:hideMark/>
          </w:tcPr>
          <w:p w14:paraId="54999DCF"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28</w:t>
            </w:r>
          </w:p>
        </w:tc>
      </w:tr>
      <w:tr w:rsidR="00C817A6" w:rsidRPr="00B2280E" w14:paraId="5B2C4F47" w14:textId="77777777" w:rsidTr="00B2280E">
        <w:tc>
          <w:tcPr>
            <w:tcW w:w="1656" w:type="pct"/>
            <w:tcBorders>
              <w:top w:val="single" w:sz="4" w:space="0" w:color="auto"/>
              <w:left w:val="single" w:sz="4" w:space="0" w:color="auto"/>
              <w:bottom w:val="single" w:sz="4" w:space="0" w:color="auto"/>
              <w:right w:val="single" w:sz="4" w:space="0" w:color="auto"/>
            </w:tcBorders>
            <w:hideMark/>
          </w:tcPr>
          <w:p w14:paraId="7624B339"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0.69</w:t>
            </w:r>
          </w:p>
        </w:tc>
        <w:tc>
          <w:tcPr>
            <w:tcW w:w="1156" w:type="pct"/>
            <w:tcBorders>
              <w:top w:val="single" w:sz="4" w:space="0" w:color="auto"/>
              <w:left w:val="single" w:sz="4" w:space="0" w:color="auto"/>
              <w:bottom w:val="single" w:sz="4" w:space="0" w:color="auto"/>
              <w:right w:val="single" w:sz="4" w:space="0" w:color="auto"/>
            </w:tcBorders>
            <w:hideMark/>
          </w:tcPr>
          <w:p w14:paraId="78FC8F95"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0.374</w:t>
            </w:r>
          </w:p>
        </w:tc>
        <w:tc>
          <w:tcPr>
            <w:tcW w:w="2188" w:type="pct"/>
            <w:tcBorders>
              <w:top w:val="single" w:sz="4" w:space="0" w:color="auto"/>
              <w:left w:val="single" w:sz="4" w:space="0" w:color="auto"/>
              <w:bottom w:val="single" w:sz="4" w:space="0" w:color="auto"/>
              <w:right w:val="single" w:sz="4" w:space="0" w:color="auto"/>
            </w:tcBorders>
            <w:hideMark/>
          </w:tcPr>
          <w:p w14:paraId="0C1D4D54" w14:textId="77777777" w:rsidR="00BC3FE6" w:rsidRPr="00B2280E" w:rsidRDefault="00BC3FE6" w:rsidP="00B2280E">
            <w:pPr>
              <w:autoSpaceDN w:val="0"/>
              <w:spacing w:after="0" w:line="276" w:lineRule="auto"/>
              <w:rPr>
                <w:rFonts w:ascii="Arial" w:hAnsi="Arial" w:cs="Arial"/>
                <w:sz w:val="18"/>
                <w:szCs w:val="18"/>
              </w:rPr>
            </w:pPr>
            <w:r w:rsidRPr="00B2280E">
              <w:rPr>
                <w:rFonts w:ascii="Arial" w:hAnsi="Arial" w:cs="Arial"/>
                <w:kern w:val="18"/>
                <w:sz w:val="18"/>
                <w:szCs w:val="18"/>
              </w:rPr>
              <w:t>28</w:t>
            </w:r>
          </w:p>
        </w:tc>
      </w:tr>
    </w:tbl>
    <w:p w14:paraId="2EC9E6BA" w14:textId="77777777" w:rsidR="00B2280E" w:rsidRDefault="00B2280E" w:rsidP="005402BC">
      <w:pPr>
        <w:autoSpaceDN w:val="0"/>
        <w:spacing w:after="0" w:line="276" w:lineRule="auto"/>
        <w:jc w:val="both"/>
        <w:rPr>
          <w:rFonts w:ascii="Arial" w:hAnsi="Arial" w:cs="Arial"/>
          <w:sz w:val="20"/>
          <w:szCs w:val="20"/>
          <w:lang w:val="en"/>
        </w:rPr>
      </w:pPr>
    </w:p>
    <w:p w14:paraId="4A45CC1A" w14:textId="77777777" w:rsidR="00B2280E" w:rsidRDefault="00BC3FE6" w:rsidP="005402BC">
      <w:pPr>
        <w:autoSpaceDN w:val="0"/>
        <w:spacing w:after="0" w:line="276" w:lineRule="auto"/>
        <w:jc w:val="both"/>
        <w:rPr>
          <w:rFonts w:ascii="Arial" w:hAnsi="Arial" w:cs="Arial"/>
          <w:sz w:val="20"/>
          <w:szCs w:val="20"/>
          <w:lang w:val="en"/>
        </w:rPr>
      </w:pPr>
      <w:r w:rsidRPr="00B2280E">
        <w:rPr>
          <w:rFonts w:ascii="Arial" w:hAnsi="Arial" w:cs="Arial"/>
          <w:sz w:val="20"/>
          <w:szCs w:val="20"/>
          <w:lang w:val="en"/>
        </w:rPr>
        <w:t>Ki-67 index is reported as percent positive tumor cells in area of highest nuclear labeling (“hot spot”), although the precise method of assessment has not been standardized.</w:t>
      </w:r>
      <w:r w:rsidRPr="00B2280E">
        <w:rPr>
          <w:rFonts w:ascii="Arial" w:hAnsi="Arial" w:cs="Arial"/>
          <w:sz w:val="20"/>
          <w:szCs w:val="20"/>
          <w:vertAlign w:val="superscript"/>
          <w:lang w:val="en"/>
        </w:rPr>
        <w:t xml:space="preserve"> </w:t>
      </w:r>
      <w:r w:rsidRPr="00B2280E">
        <w:rPr>
          <w:rFonts w:ascii="Arial" w:hAnsi="Arial" w:cs="Arial"/>
          <w:sz w:val="20"/>
          <w:szCs w:val="20"/>
          <w:lang w:val="en"/>
        </w:rPr>
        <w:t>A number of methods have used to assess Ki-67 index, including automatic counting and “eyeballing”.</w:t>
      </w:r>
      <w:hyperlink w:anchor="R38704" w:tooltip="Tang LH, Gonen M, Hedvat C, Modlin I, Klimstra DS.&#10;Objective quantification of the Ki67 proliferative index in neuroendocrine&#10;tumors of gastroenteropancreatic system: a comparison of digital image analysis&#10;with manual methods. Am J Surg Pathol. 2012;36(12):176" w:history="1">
        <w:r w:rsidRPr="00B2280E">
          <w:rPr>
            <w:rStyle w:val="Hyperlink"/>
            <w:rFonts w:ascii="Arial" w:hAnsi="Arial" w:cs="Arial"/>
            <w:sz w:val="20"/>
            <w:szCs w:val="20"/>
            <w:vertAlign w:val="superscript"/>
            <w:lang w:val="en"/>
          </w:rPr>
          <w:t>3,</w:t>
        </w:r>
      </w:hyperlink>
      <w:hyperlink w:anchor="R38705" w:tooltip="Reid MD, Bagci P, Ohike N, et al. Calculation of&#10;the Ki67 index in pancreatic neuroendocrine tumors: a comparative analysis of&#10;four counting methodologies. Mod Pathol. 2016;29(1):93.   " w:history="1">
        <w:r w:rsidRPr="00B2280E">
          <w:rPr>
            <w:rStyle w:val="Hyperlink"/>
            <w:rFonts w:ascii="Arial" w:hAnsi="Arial" w:cs="Arial"/>
            <w:sz w:val="20"/>
            <w:szCs w:val="20"/>
            <w:vertAlign w:val="superscript"/>
            <w:lang w:val="en"/>
          </w:rPr>
          <w:t>4</w:t>
        </w:r>
      </w:hyperlink>
      <w:r w:rsidRPr="00B2280E">
        <w:rPr>
          <w:rFonts w:ascii="Arial" w:hAnsi="Arial" w:cs="Arial"/>
          <w:sz w:val="20"/>
          <w:szCs w:val="20"/>
          <w:lang w:val="en"/>
        </w:rPr>
        <w:t> Automated counting is not widely available and requires careful modification of the software to circumvent the inaccuracies.</w:t>
      </w:r>
      <w:r w:rsidRPr="00B2280E">
        <w:rPr>
          <w:rFonts w:ascii="Arial" w:hAnsi="Arial" w:cs="Arial"/>
          <w:sz w:val="20"/>
          <w:szCs w:val="20"/>
          <w:vertAlign w:val="superscript"/>
          <w:lang w:val="en"/>
        </w:rPr>
        <w:t>3</w:t>
      </w:r>
      <w:r w:rsidRPr="00B2280E">
        <w:rPr>
          <w:rFonts w:ascii="Arial" w:hAnsi="Arial" w:cs="Arial"/>
          <w:sz w:val="20"/>
          <w:szCs w:val="20"/>
          <w:lang w:val="en"/>
        </w:rPr>
        <w:t xml:space="preserve"> Eye-balling can be used for most tumors; however, for tumors with Ki-67 index close to grade cut-offs, it is recommended to perform the manual count on the print of camera-captured image of the hot spot. It has been recommended that a minimum of 500 tumor cells be counted to determine the Ki-67 index, and a notation is made if less cells are available.</w:t>
      </w:r>
      <w:r w:rsidRPr="00B2280E">
        <w:rPr>
          <w:rFonts w:ascii="Arial" w:hAnsi="Arial" w:cs="Arial"/>
          <w:sz w:val="20"/>
          <w:szCs w:val="20"/>
          <w:vertAlign w:val="superscript"/>
          <w:lang w:val="en"/>
        </w:rPr>
        <w:t xml:space="preserve"> </w:t>
      </w:r>
      <w:r w:rsidRPr="00B2280E">
        <w:rPr>
          <w:rFonts w:ascii="Arial" w:hAnsi="Arial" w:cs="Arial"/>
          <w:sz w:val="20"/>
          <w:szCs w:val="20"/>
          <w:lang w:val="en"/>
        </w:rPr>
        <w:t>Grade assigned based on Ki-67 index is typically higher than that based on mitotic count, and the case is assigned to the higher of the 2 if both methods are performed.</w:t>
      </w:r>
      <w:hyperlink w:anchor="R38709" w:tooltip="WHO&#10;Classification of Tumours Editorial Board. Digestive system tumours.&#10;Lyon (France): International Agency for Research on Cancer; 2019. (WHO&#10;classification of tumours series, 5th ed.; vol. 1)." w:history="1">
        <w:r w:rsidRPr="00B2280E">
          <w:rPr>
            <w:rStyle w:val="Hyperlink"/>
            <w:rFonts w:ascii="Arial" w:hAnsi="Arial" w:cs="Arial"/>
            <w:sz w:val="20"/>
            <w:szCs w:val="20"/>
            <w:vertAlign w:val="superscript"/>
            <w:lang w:val="en"/>
          </w:rPr>
          <w:t>1</w:t>
        </w:r>
      </w:hyperlink>
    </w:p>
    <w:p w14:paraId="7AB0BD03" w14:textId="77777777" w:rsidR="00B2280E" w:rsidRDefault="00B2280E" w:rsidP="005402BC">
      <w:pPr>
        <w:autoSpaceDN w:val="0"/>
        <w:spacing w:after="0" w:line="276" w:lineRule="auto"/>
        <w:jc w:val="both"/>
        <w:rPr>
          <w:rFonts w:ascii="Arial" w:hAnsi="Arial" w:cs="Arial"/>
          <w:sz w:val="20"/>
          <w:szCs w:val="20"/>
          <w:lang w:val="en"/>
        </w:rPr>
      </w:pPr>
    </w:p>
    <w:p w14:paraId="6B95F8CF" w14:textId="77777777" w:rsidR="00B2280E" w:rsidRDefault="00BC3FE6" w:rsidP="005402BC">
      <w:pPr>
        <w:autoSpaceDN w:val="0"/>
        <w:spacing w:after="0" w:line="276" w:lineRule="auto"/>
        <w:jc w:val="both"/>
        <w:rPr>
          <w:rFonts w:ascii="Arial" w:hAnsi="Arial" w:cs="Arial"/>
          <w:sz w:val="20"/>
          <w:szCs w:val="20"/>
          <w:lang w:val="en"/>
        </w:rPr>
      </w:pPr>
      <w:r w:rsidRPr="00B2280E">
        <w:rPr>
          <w:rFonts w:ascii="Arial" w:hAnsi="Arial" w:cs="Arial"/>
          <w:sz w:val="20"/>
          <w:szCs w:val="20"/>
          <w:lang w:val="en"/>
        </w:rPr>
        <w:t>It is important to note that there are a small group of well-differentiated neuroendocrine tumors with a Ki-67 index &gt;20% and a mitotic rate usually &lt;20 per 10 HPF. In WHO-2010, these tumors were considered as G3 poorly differentiated neuroendocrine carcinomas. However, they have typical morphology of well-differentiated tumors</w:t>
      </w:r>
      <w:r w:rsidR="00B2280E">
        <w:rPr>
          <w:rFonts w:ascii="Arial" w:hAnsi="Arial" w:cs="Arial"/>
          <w:sz w:val="20"/>
          <w:szCs w:val="20"/>
          <w:lang w:val="en"/>
        </w:rPr>
        <w:t>.</w:t>
      </w:r>
    </w:p>
    <w:p w14:paraId="3A9616D7" w14:textId="77777777" w:rsidR="00B2280E" w:rsidRDefault="00B2280E" w:rsidP="005402BC">
      <w:pPr>
        <w:autoSpaceDN w:val="0"/>
        <w:spacing w:after="0" w:line="276" w:lineRule="auto"/>
        <w:jc w:val="both"/>
        <w:rPr>
          <w:rFonts w:ascii="Arial" w:hAnsi="Arial" w:cs="Arial"/>
          <w:sz w:val="20"/>
          <w:szCs w:val="20"/>
          <w:lang w:val="en"/>
        </w:rPr>
      </w:pPr>
    </w:p>
    <w:p w14:paraId="35A0D175" w14:textId="77777777" w:rsidR="005402BC" w:rsidRDefault="00BC3FE6" w:rsidP="005402BC">
      <w:pPr>
        <w:autoSpaceDN w:val="0"/>
        <w:spacing w:after="0" w:line="276" w:lineRule="auto"/>
        <w:jc w:val="both"/>
        <w:rPr>
          <w:rFonts w:ascii="Arial" w:hAnsi="Arial" w:cs="Arial"/>
          <w:sz w:val="20"/>
          <w:szCs w:val="20"/>
          <w:lang w:val="en"/>
        </w:rPr>
      </w:pPr>
      <w:r w:rsidRPr="00B2280E">
        <w:rPr>
          <w:rFonts w:ascii="Arial" w:hAnsi="Arial" w:cs="Arial"/>
          <w:sz w:val="20"/>
          <w:szCs w:val="20"/>
          <w:lang w:val="en"/>
        </w:rPr>
        <w:t>Previous studies (most on pancreatic neuroendocrine tumors) have demonstrated that these tumors have a worse prognosis than grade 2 (Ki-67=3-20 % and mitosis &lt;20/10 HPF) neuroendocrine tumors, but they are not as aggressive as poorly differentiated neuroendocrine carcinomas.</w:t>
      </w:r>
      <w:hyperlink w:anchor="R38706" w:tooltip="Shi C, Klimstra DS. Pancreatic neuroendocrine&#10;tumors: pathologic and molecular characteristics. Semin Diagn Pathol.&#10;2014;31(6):498-511." w:history="1">
        <w:r w:rsidRPr="00B2280E">
          <w:rPr>
            <w:rStyle w:val="Hyperlink"/>
            <w:rFonts w:ascii="Arial" w:hAnsi="Arial" w:cs="Arial"/>
            <w:sz w:val="20"/>
            <w:szCs w:val="20"/>
            <w:vertAlign w:val="superscript"/>
            <w:lang w:val="en"/>
          </w:rPr>
          <w:t>5</w:t>
        </w:r>
      </w:hyperlink>
      <w:r w:rsidRPr="00B2280E">
        <w:rPr>
          <w:rFonts w:ascii="Arial" w:hAnsi="Arial" w:cs="Arial"/>
          <w:sz w:val="20"/>
          <w:szCs w:val="20"/>
          <w:lang w:val="en"/>
        </w:rPr>
        <w:t> In addition, these tumors do not have the genetic abnormalities seen in poorly differentiated neuroendocrine carcinomas.</w:t>
      </w:r>
      <w:hyperlink w:anchor="R38707" w:tooltip="Yachida S, Vakiani E, White CM, Zhong Y, Saunders&#10;T, Morgan R et al. Small cell and large cell neuroendocrine carcinomas of the&#10;pancreas are genetically similar and distinct from well-differentiated&#10;pancreatic neuroendocrine tumors. Am J Surg Pathol. 2012;36(2" w:history="1">
        <w:r w:rsidRPr="00B2280E">
          <w:rPr>
            <w:rStyle w:val="Hyperlink"/>
            <w:rFonts w:ascii="Arial" w:hAnsi="Arial" w:cs="Arial"/>
            <w:sz w:val="20"/>
            <w:szCs w:val="20"/>
            <w:vertAlign w:val="superscript"/>
            <w:lang w:val="en"/>
          </w:rPr>
          <w:t>6</w:t>
        </w:r>
      </w:hyperlink>
      <w:r w:rsidRPr="00B2280E">
        <w:rPr>
          <w:rFonts w:ascii="Arial" w:hAnsi="Arial" w:cs="Arial"/>
          <w:sz w:val="20"/>
          <w:szCs w:val="20"/>
          <w:lang w:val="en"/>
        </w:rPr>
        <w:t> Furthermore, unlike poorly differentiated neuroendocrine carcinomas, they are less responsive to platinum-based chemotherapy.</w:t>
      </w:r>
      <w:hyperlink w:anchor="R38708" w:tooltip="Sorbye H, Strosberg J, Baudin E, Klimstra DS, Yao&#10;JC. Gastroenteropancreatic high-grade neuroendocrine carcinoma. Cancer.&#10;2014;120(18):2814-2823.   " w:history="1">
        <w:r w:rsidRPr="00B2280E">
          <w:rPr>
            <w:rStyle w:val="Hyperlink"/>
            <w:rFonts w:ascii="Arial" w:hAnsi="Arial" w:cs="Arial"/>
            <w:sz w:val="20"/>
            <w:szCs w:val="20"/>
            <w:vertAlign w:val="superscript"/>
            <w:lang w:val="en"/>
          </w:rPr>
          <w:t>7</w:t>
        </w:r>
      </w:hyperlink>
      <w:r w:rsidRPr="00B2280E">
        <w:rPr>
          <w:rFonts w:ascii="Arial" w:hAnsi="Arial" w:cs="Arial"/>
          <w:sz w:val="20"/>
          <w:szCs w:val="20"/>
          <w:lang w:val="en"/>
        </w:rPr>
        <w:t> In the WHO-2019 blue book of digestive system tumors and the AJCC Version 9, those with typical morphology of well-differentiated tumors are classified as “well-differentiated neuroendocrine tumor” but as grade 3 (Table 2).</w:t>
      </w:r>
      <w:hyperlink w:anchor="R38709" w:tooltip="WHO&#10;Classification of Tumours Editorial Board. Digestive system tumours.&#10;Lyon (France): International Agency for Research on Cancer; 2019. (WHO&#10;classification of tumours series, 5th ed.; vol. 1)." w:history="1">
        <w:r w:rsidRPr="00B2280E">
          <w:rPr>
            <w:rStyle w:val="Hyperlink"/>
            <w:rFonts w:ascii="Arial" w:hAnsi="Arial" w:cs="Arial"/>
            <w:sz w:val="20"/>
            <w:szCs w:val="20"/>
            <w:vertAlign w:val="superscript"/>
            <w:lang w:val="en"/>
          </w:rPr>
          <w:t>1,</w:t>
        </w:r>
      </w:hyperlink>
      <w:hyperlink w:anchor="R38710" w:tooltip="Amin MB, Edge SB, Greene FL, et al, eds. AJCC&#10;Cancer Staging Manual. 8th ed. New York, NY: Springer; 2017." w:history="1">
        <w:r w:rsidRPr="00B2280E">
          <w:rPr>
            <w:rStyle w:val="Hyperlink"/>
            <w:rFonts w:ascii="Arial" w:hAnsi="Arial" w:cs="Arial"/>
            <w:sz w:val="20"/>
            <w:szCs w:val="20"/>
            <w:vertAlign w:val="superscript"/>
            <w:lang w:val="en"/>
          </w:rPr>
          <w:t>8</w:t>
        </w:r>
      </w:hyperlink>
    </w:p>
    <w:p w14:paraId="3AF343A5" w14:textId="77777777" w:rsidR="005402BC" w:rsidRDefault="005402BC" w:rsidP="005402BC">
      <w:pPr>
        <w:autoSpaceDN w:val="0"/>
        <w:spacing w:after="0" w:line="276" w:lineRule="auto"/>
        <w:jc w:val="both"/>
        <w:rPr>
          <w:rStyle w:val="Strong"/>
          <w:rFonts w:ascii="Arial" w:hAnsi="Arial" w:cs="Arial"/>
          <w:bCs w:val="0"/>
          <w:sz w:val="20"/>
          <w:szCs w:val="20"/>
          <w:lang w:val="en"/>
        </w:rPr>
      </w:pPr>
    </w:p>
    <w:p w14:paraId="4C352A94" w14:textId="66F4F08A" w:rsidR="00BC3FE6" w:rsidRPr="00B2280E" w:rsidRDefault="00BC3FE6" w:rsidP="005402BC">
      <w:pPr>
        <w:autoSpaceDN w:val="0"/>
        <w:spacing w:after="0" w:line="276" w:lineRule="auto"/>
        <w:rPr>
          <w:rFonts w:ascii="Arial" w:hAnsi="Arial" w:cs="Arial"/>
          <w:sz w:val="20"/>
          <w:szCs w:val="20"/>
          <w:lang w:val="en"/>
        </w:rPr>
      </w:pPr>
      <w:r w:rsidRPr="00B2280E">
        <w:rPr>
          <w:rStyle w:val="Strong"/>
          <w:rFonts w:ascii="Arial" w:hAnsi="Arial" w:cs="Arial"/>
          <w:bCs w:val="0"/>
          <w:sz w:val="20"/>
          <w:szCs w:val="20"/>
          <w:lang w:val="en"/>
        </w:rPr>
        <w:t xml:space="preserve">Table 2 Recommended Grading System for Well-Differentiated </w:t>
      </w:r>
      <w:proofErr w:type="spellStart"/>
      <w:r w:rsidRPr="00B2280E">
        <w:rPr>
          <w:rStyle w:val="Strong"/>
          <w:rFonts w:ascii="Arial" w:hAnsi="Arial" w:cs="Arial"/>
          <w:bCs w:val="0"/>
          <w:sz w:val="20"/>
          <w:szCs w:val="20"/>
          <w:lang w:val="en"/>
        </w:rPr>
        <w:t>Gastroenteropancreatic</w:t>
      </w:r>
      <w:proofErr w:type="spellEnd"/>
      <w:r w:rsidR="005402BC">
        <w:rPr>
          <w:rStyle w:val="Strong"/>
          <w:rFonts w:ascii="Arial" w:hAnsi="Arial" w:cs="Arial"/>
          <w:bCs w:val="0"/>
          <w:sz w:val="20"/>
          <w:szCs w:val="20"/>
          <w:lang w:val="en"/>
        </w:rPr>
        <w:t xml:space="preserve"> </w:t>
      </w:r>
      <w:r w:rsidRPr="00B2280E">
        <w:rPr>
          <w:rStyle w:val="Strong"/>
          <w:rFonts w:ascii="Arial" w:hAnsi="Arial" w:cs="Arial"/>
          <w:bCs w:val="0"/>
          <w:sz w:val="20"/>
          <w:szCs w:val="20"/>
          <w:lang w:val="en"/>
        </w:rPr>
        <w:t>Neuroendocrine Tumors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32"/>
        <w:gridCol w:w="2543"/>
        <w:gridCol w:w="2175"/>
      </w:tblGrid>
      <w:tr w:rsidR="00C817A6" w:rsidRPr="00B2280E" w14:paraId="4884BD37" w14:textId="77777777" w:rsidTr="00B2280E">
        <w:tc>
          <w:tcPr>
            <w:tcW w:w="2477" w:type="pct"/>
            <w:tcBorders>
              <w:top w:val="single" w:sz="4" w:space="0" w:color="auto"/>
              <w:left w:val="single" w:sz="4" w:space="0" w:color="auto"/>
              <w:bottom w:val="single" w:sz="4" w:space="0" w:color="auto"/>
              <w:right w:val="single" w:sz="4" w:space="0" w:color="auto"/>
            </w:tcBorders>
            <w:hideMark/>
          </w:tcPr>
          <w:p w14:paraId="2EAF5EE3"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Arial" w:hAnsi="Arial" w:cs="Arial"/>
                <w:sz w:val="18"/>
                <w:szCs w:val="18"/>
              </w:rPr>
            </w:pPr>
            <w:r w:rsidRPr="00B2280E">
              <w:rPr>
                <w:rStyle w:val="Strong"/>
                <w:rFonts w:ascii="Arial" w:hAnsi="Arial" w:cs="Arial"/>
                <w:bCs w:val="0"/>
                <w:sz w:val="18"/>
                <w:szCs w:val="18"/>
              </w:rPr>
              <w:t>Grade</w:t>
            </w:r>
          </w:p>
        </w:tc>
        <w:tc>
          <w:tcPr>
            <w:tcW w:w="1360" w:type="pct"/>
            <w:tcBorders>
              <w:top w:val="single" w:sz="4" w:space="0" w:color="auto"/>
              <w:left w:val="single" w:sz="4" w:space="0" w:color="auto"/>
              <w:bottom w:val="single" w:sz="4" w:space="0" w:color="auto"/>
              <w:right w:val="single" w:sz="4" w:space="0" w:color="auto"/>
            </w:tcBorders>
            <w:hideMark/>
          </w:tcPr>
          <w:p w14:paraId="18D7EC41"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center"/>
              <w:rPr>
                <w:rFonts w:ascii="Arial" w:hAnsi="Arial" w:cs="Arial"/>
                <w:sz w:val="18"/>
                <w:szCs w:val="18"/>
              </w:rPr>
            </w:pPr>
            <w:r w:rsidRPr="00B2280E">
              <w:rPr>
                <w:rStyle w:val="Strong"/>
                <w:rFonts w:ascii="Arial" w:hAnsi="Arial" w:cs="Arial"/>
                <w:bCs w:val="0"/>
                <w:sz w:val="18"/>
                <w:szCs w:val="18"/>
              </w:rPr>
              <w:t>Mitotic Rate (per 2mm</w:t>
            </w:r>
            <w:r w:rsidRPr="00B2280E">
              <w:rPr>
                <w:rStyle w:val="Strong"/>
                <w:rFonts w:ascii="Arial" w:hAnsi="Arial" w:cs="Arial"/>
                <w:bCs w:val="0"/>
                <w:sz w:val="18"/>
                <w:szCs w:val="18"/>
                <w:vertAlign w:val="superscript"/>
              </w:rPr>
              <w:t>2</w:t>
            </w:r>
            <w:r w:rsidRPr="00B2280E">
              <w:rPr>
                <w:rStyle w:val="Strong"/>
                <w:rFonts w:ascii="Arial" w:hAnsi="Arial" w:cs="Arial"/>
                <w:bCs w:val="0"/>
                <w:sz w:val="18"/>
                <w:szCs w:val="18"/>
              </w:rPr>
              <w:t>)</w:t>
            </w:r>
          </w:p>
        </w:tc>
        <w:tc>
          <w:tcPr>
            <w:tcW w:w="1163" w:type="pct"/>
            <w:tcBorders>
              <w:top w:val="single" w:sz="4" w:space="0" w:color="auto"/>
              <w:left w:val="single" w:sz="4" w:space="0" w:color="auto"/>
              <w:bottom w:val="single" w:sz="4" w:space="0" w:color="auto"/>
              <w:right w:val="single" w:sz="4" w:space="0" w:color="auto"/>
            </w:tcBorders>
            <w:hideMark/>
          </w:tcPr>
          <w:p w14:paraId="2E8F3F86"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center"/>
              <w:rPr>
                <w:rFonts w:ascii="Arial" w:hAnsi="Arial" w:cs="Arial"/>
                <w:sz w:val="18"/>
                <w:szCs w:val="18"/>
              </w:rPr>
            </w:pPr>
            <w:r w:rsidRPr="00B2280E">
              <w:rPr>
                <w:rStyle w:val="Strong"/>
                <w:rFonts w:ascii="Arial" w:hAnsi="Arial" w:cs="Arial"/>
                <w:bCs w:val="0"/>
                <w:sz w:val="18"/>
                <w:szCs w:val="18"/>
              </w:rPr>
              <w:t>Ki-67 index (%)</w:t>
            </w:r>
          </w:p>
        </w:tc>
      </w:tr>
      <w:tr w:rsidR="00C817A6" w:rsidRPr="00B2280E" w14:paraId="2BEBE249" w14:textId="77777777" w:rsidTr="00B2280E">
        <w:tc>
          <w:tcPr>
            <w:tcW w:w="2477" w:type="pct"/>
            <w:tcBorders>
              <w:top w:val="single" w:sz="4" w:space="0" w:color="auto"/>
              <w:left w:val="single" w:sz="4" w:space="0" w:color="auto"/>
              <w:bottom w:val="single" w:sz="4" w:space="0" w:color="auto"/>
              <w:right w:val="single" w:sz="4" w:space="0" w:color="auto"/>
            </w:tcBorders>
            <w:hideMark/>
          </w:tcPr>
          <w:p w14:paraId="275BB00A"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Arial" w:hAnsi="Arial" w:cs="Arial"/>
                <w:sz w:val="18"/>
                <w:szCs w:val="18"/>
              </w:rPr>
            </w:pPr>
            <w:r w:rsidRPr="00B2280E">
              <w:rPr>
                <w:rFonts w:ascii="Arial" w:hAnsi="Arial" w:cs="Arial"/>
                <w:sz w:val="18"/>
                <w:szCs w:val="18"/>
              </w:rPr>
              <w:t>Well-differentiated neuroendocrine tumor, G1</w:t>
            </w:r>
          </w:p>
        </w:tc>
        <w:tc>
          <w:tcPr>
            <w:tcW w:w="1360" w:type="pct"/>
            <w:tcBorders>
              <w:top w:val="single" w:sz="4" w:space="0" w:color="auto"/>
              <w:left w:val="single" w:sz="4" w:space="0" w:color="auto"/>
              <w:bottom w:val="single" w:sz="4" w:space="0" w:color="auto"/>
              <w:right w:val="single" w:sz="4" w:space="0" w:color="auto"/>
            </w:tcBorders>
            <w:hideMark/>
          </w:tcPr>
          <w:p w14:paraId="037D26EF"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center"/>
              <w:rPr>
                <w:rFonts w:ascii="Arial" w:hAnsi="Arial" w:cs="Arial"/>
                <w:sz w:val="18"/>
                <w:szCs w:val="18"/>
              </w:rPr>
            </w:pPr>
            <w:r w:rsidRPr="00B2280E">
              <w:rPr>
                <w:rFonts w:ascii="Arial" w:hAnsi="Arial" w:cs="Arial"/>
                <w:sz w:val="18"/>
                <w:szCs w:val="18"/>
              </w:rPr>
              <w:t>&lt;2</w:t>
            </w:r>
          </w:p>
        </w:tc>
        <w:tc>
          <w:tcPr>
            <w:tcW w:w="1163" w:type="pct"/>
            <w:tcBorders>
              <w:top w:val="single" w:sz="4" w:space="0" w:color="auto"/>
              <w:left w:val="single" w:sz="4" w:space="0" w:color="auto"/>
              <w:bottom w:val="single" w:sz="4" w:space="0" w:color="auto"/>
              <w:right w:val="single" w:sz="4" w:space="0" w:color="auto"/>
            </w:tcBorders>
            <w:hideMark/>
          </w:tcPr>
          <w:p w14:paraId="734B543F" w14:textId="77777777" w:rsidR="00BC3FE6" w:rsidRPr="00B2280E" w:rsidRDefault="00BC3FE6" w:rsidP="00B2280E">
            <w:pPr>
              <w:keepNext/>
              <w:widowControl w:val="0"/>
              <w:tabs>
                <w:tab w:val="center" w:pos="2880"/>
                <w:tab w:val="center" w:pos="5940"/>
              </w:tabs>
              <w:spacing w:after="0" w:line="276" w:lineRule="auto"/>
              <w:jc w:val="center"/>
              <w:rPr>
                <w:rFonts w:ascii="Arial" w:hAnsi="Arial" w:cs="Arial"/>
                <w:sz w:val="18"/>
                <w:szCs w:val="18"/>
              </w:rPr>
            </w:pPr>
            <w:r w:rsidRPr="00B2280E">
              <w:rPr>
                <w:rFonts w:ascii="Arial" w:hAnsi="Arial" w:cs="Arial"/>
                <w:sz w:val="18"/>
                <w:szCs w:val="18"/>
              </w:rPr>
              <w:t>&lt;3</w:t>
            </w:r>
          </w:p>
        </w:tc>
      </w:tr>
      <w:tr w:rsidR="00C817A6" w:rsidRPr="00B2280E" w14:paraId="42407DDC" w14:textId="77777777" w:rsidTr="00B2280E">
        <w:tc>
          <w:tcPr>
            <w:tcW w:w="2477" w:type="pct"/>
            <w:tcBorders>
              <w:top w:val="single" w:sz="4" w:space="0" w:color="auto"/>
              <w:left w:val="single" w:sz="4" w:space="0" w:color="auto"/>
              <w:bottom w:val="single" w:sz="4" w:space="0" w:color="auto"/>
              <w:right w:val="single" w:sz="4" w:space="0" w:color="auto"/>
            </w:tcBorders>
            <w:hideMark/>
          </w:tcPr>
          <w:p w14:paraId="1354C57E"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Arial" w:hAnsi="Arial" w:cs="Arial"/>
                <w:sz w:val="18"/>
                <w:szCs w:val="18"/>
              </w:rPr>
            </w:pPr>
            <w:r w:rsidRPr="00B2280E">
              <w:rPr>
                <w:rFonts w:ascii="Arial" w:hAnsi="Arial" w:cs="Arial"/>
                <w:sz w:val="18"/>
                <w:szCs w:val="18"/>
              </w:rPr>
              <w:t>Well-differentiated neuroendocrine tumor, G2</w:t>
            </w:r>
          </w:p>
        </w:tc>
        <w:tc>
          <w:tcPr>
            <w:tcW w:w="1360" w:type="pct"/>
            <w:tcBorders>
              <w:top w:val="single" w:sz="4" w:space="0" w:color="auto"/>
              <w:left w:val="single" w:sz="4" w:space="0" w:color="auto"/>
              <w:bottom w:val="single" w:sz="4" w:space="0" w:color="auto"/>
              <w:right w:val="single" w:sz="4" w:space="0" w:color="auto"/>
            </w:tcBorders>
            <w:hideMark/>
          </w:tcPr>
          <w:p w14:paraId="36292460"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center"/>
              <w:rPr>
                <w:rFonts w:ascii="Arial" w:hAnsi="Arial" w:cs="Arial"/>
                <w:sz w:val="18"/>
                <w:szCs w:val="18"/>
              </w:rPr>
            </w:pPr>
            <w:r w:rsidRPr="00B2280E">
              <w:rPr>
                <w:rFonts w:ascii="Arial" w:hAnsi="Arial" w:cs="Arial"/>
                <w:sz w:val="18"/>
                <w:szCs w:val="18"/>
              </w:rPr>
              <w:t>2-20</w:t>
            </w:r>
          </w:p>
        </w:tc>
        <w:tc>
          <w:tcPr>
            <w:tcW w:w="1163" w:type="pct"/>
            <w:tcBorders>
              <w:top w:val="single" w:sz="4" w:space="0" w:color="auto"/>
              <w:left w:val="single" w:sz="4" w:space="0" w:color="auto"/>
              <w:bottom w:val="single" w:sz="4" w:space="0" w:color="auto"/>
              <w:right w:val="single" w:sz="4" w:space="0" w:color="auto"/>
            </w:tcBorders>
            <w:hideMark/>
          </w:tcPr>
          <w:p w14:paraId="63655A27" w14:textId="77777777" w:rsidR="00BC3FE6" w:rsidRPr="00B2280E" w:rsidRDefault="00BC3FE6" w:rsidP="00B2280E">
            <w:pPr>
              <w:widowControl w:val="0"/>
              <w:tabs>
                <w:tab w:val="center" w:pos="2880"/>
                <w:tab w:val="center" w:pos="5940"/>
              </w:tabs>
              <w:spacing w:after="0" w:line="276" w:lineRule="auto"/>
              <w:jc w:val="center"/>
              <w:rPr>
                <w:rFonts w:ascii="Arial" w:hAnsi="Arial" w:cs="Arial"/>
                <w:sz w:val="18"/>
                <w:szCs w:val="18"/>
              </w:rPr>
            </w:pPr>
            <w:r w:rsidRPr="00B2280E">
              <w:rPr>
                <w:rFonts w:ascii="Arial" w:hAnsi="Arial" w:cs="Arial"/>
                <w:sz w:val="18"/>
                <w:szCs w:val="18"/>
              </w:rPr>
              <w:t>3-20</w:t>
            </w:r>
          </w:p>
        </w:tc>
      </w:tr>
      <w:tr w:rsidR="00C817A6" w:rsidRPr="00B2280E" w14:paraId="3F2500A2" w14:textId="77777777" w:rsidTr="00B2280E">
        <w:tc>
          <w:tcPr>
            <w:tcW w:w="2477" w:type="pct"/>
            <w:tcBorders>
              <w:top w:val="single" w:sz="4" w:space="0" w:color="auto"/>
              <w:left w:val="single" w:sz="4" w:space="0" w:color="auto"/>
              <w:bottom w:val="single" w:sz="4" w:space="0" w:color="auto"/>
              <w:right w:val="single" w:sz="4" w:space="0" w:color="auto"/>
            </w:tcBorders>
            <w:hideMark/>
          </w:tcPr>
          <w:p w14:paraId="3F2925C8"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Arial" w:hAnsi="Arial" w:cs="Arial"/>
                <w:sz w:val="18"/>
                <w:szCs w:val="18"/>
              </w:rPr>
            </w:pPr>
            <w:r w:rsidRPr="00B2280E">
              <w:rPr>
                <w:rFonts w:ascii="Arial" w:hAnsi="Arial" w:cs="Arial"/>
                <w:sz w:val="18"/>
                <w:szCs w:val="18"/>
              </w:rPr>
              <w:t>Well-differentiated neuroendocrine tumor, G3</w:t>
            </w:r>
          </w:p>
        </w:tc>
        <w:tc>
          <w:tcPr>
            <w:tcW w:w="1360" w:type="pct"/>
            <w:tcBorders>
              <w:top w:val="single" w:sz="4" w:space="0" w:color="auto"/>
              <w:left w:val="single" w:sz="4" w:space="0" w:color="auto"/>
              <w:bottom w:val="single" w:sz="4" w:space="0" w:color="auto"/>
              <w:right w:val="single" w:sz="4" w:space="0" w:color="auto"/>
            </w:tcBorders>
            <w:hideMark/>
          </w:tcPr>
          <w:p w14:paraId="289B40BA" w14:textId="77777777" w:rsidR="00BC3FE6" w:rsidRPr="00B2280E" w:rsidRDefault="00BC3FE6" w:rsidP="00B228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center"/>
              <w:rPr>
                <w:rFonts w:ascii="Arial" w:hAnsi="Arial" w:cs="Arial"/>
                <w:sz w:val="18"/>
                <w:szCs w:val="18"/>
              </w:rPr>
            </w:pPr>
            <w:r w:rsidRPr="00B2280E">
              <w:rPr>
                <w:rFonts w:ascii="Arial" w:hAnsi="Arial" w:cs="Arial"/>
                <w:sz w:val="18"/>
                <w:szCs w:val="18"/>
              </w:rPr>
              <w:t>&gt;20</w:t>
            </w:r>
          </w:p>
        </w:tc>
        <w:tc>
          <w:tcPr>
            <w:tcW w:w="1163" w:type="pct"/>
            <w:tcBorders>
              <w:top w:val="single" w:sz="4" w:space="0" w:color="auto"/>
              <w:left w:val="single" w:sz="4" w:space="0" w:color="auto"/>
              <w:bottom w:val="single" w:sz="4" w:space="0" w:color="auto"/>
              <w:right w:val="single" w:sz="4" w:space="0" w:color="auto"/>
            </w:tcBorders>
            <w:hideMark/>
          </w:tcPr>
          <w:p w14:paraId="670ED597" w14:textId="77777777" w:rsidR="00BC3FE6" w:rsidRPr="00B2280E" w:rsidRDefault="00BC3FE6" w:rsidP="00B2280E">
            <w:pPr>
              <w:widowControl w:val="0"/>
              <w:tabs>
                <w:tab w:val="center" w:pos="2880"/>
                <w:tab w:val="center" w:pos="5940"/>
              </w:tabs>
              <w:spacing w:after="0" w:line="276" w:lineRule="auto"/>
              <w:jc w:val="center"/>
              <w:rPr>
                <w:rFonts w:ascii="Arial" w:hAnsi="Arial" w:cs="Arial"/>
                <w:sz w:val="18"/>
                <w:szCs w:val="18"/>
              </w:rPr>
            </w:pPr>
            <w:r w:rsidRPr="00B2280E">
              <w:rPr>
                <w:rFonts w:ascii="Arial" w:hAnsi="Arial" w:cs="Arial"/>
                <w:sz w:val="18"/>
                <w:szCs w:val="18"/>
              </w:rPr>
              <w:t>&gt;20</w:t>
            </w:r>
          </w:p>
        </w:tc>
      </w:tr>
    </w:tbl>
    <w:p w14:paraId="31269F18" w14:textId="77777777" w:rsidR="00B2280E" w:rsidRDefault="00B2280E" w:rsidP="005402BC">
      <w:pPr>
        <w:spacing w:after="0" w:line="276" w:lineRule="auto"/>
        <w:jc w:val="both"/>
        <w:rPr>
          <w:rFonts w:ascii="Arial" w:eastAsia="Times New Roman" w:hAnsi="Arial" w:cs="Arial"/>
          <w:sz w:val="20"/>
          <w:szCs w:val="20"/>
          <w:lang w:val="en"/>
        </w:rPr>
      </w:pPr>
    </w:p>
    <w:p w14:paraId="4EE5CCA0"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References</w:t>
      </w:r>
      <w:bookmarkStart w:id="10" w:name="R38709"/>
    </w:p>
    <w:p w14:paraId="09448CBF" w14:textId="77777777" w:rsidR="00B2280E" w:rsidRPr="00B2280E" w:rsidRDefault="00BC3FE6" w:rsidP="005402BC">
      <w:pPr>
        <w:pStyle w:val="ListParagraph"/>
        <w:numPr>
          <w:ilvl w:val="0"/>
          <w:numId w:val="6"/>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WHO Classification of </w:t>
      </w:r>
      <w:proofErr w:type="spellStart"/>
      <w:r w:rsidRPr="00B2280E">
        <w:rPr>
          <w:rFonts w:ascii="Arial" w:hAnsi="Arial" w:cs="Arial"/>
          <w:sz w:val="20"/>
          <w:szCs w:val="20"/>
          <w:lang w:val="en"/>
        </w:rPr>
        <w:t>Tumours</w:t>
      </w:r>
      <w:proofErr w:type="spellEnd"/>
      <w:r w:rsidRPr="00B2280E">
        <w:rPr>
          <w:rFonts w:ascii="Arial" w:hAnsi="Arial" w:cs="Arial"/>
          <w:sz w:val="20"/>
          <w:szCs w:val="20"/>
          <w:lang w:val="en"/>
        </w:rPr>
        <w:t xml:space="preserve"> Editorial Board. </w:t>
      </w:r>
      <w:r w:rsidRPr="00B2280E">
        <w:rPr>
          <w:rStyle w:val="Emphasis"/>
          <w:rFonts w:ascii="Arial" w:hAnsi="Arial" w:cs="Arial"/>
          <w:sz w:val="20"/>
          <w:szCs w:val="20"/>
          <w:lang w:val="en"/>
        </w:rPr>
        <w:t xml:space="preserve">Digestive system </w:t>
      </w:r>
      <w:proofErr w:type="spellStart"/>
      <w:r w:rsidRPr="00B2280E">
        <w:rPr>
          <w:rStyle w:val="Emphasis"/>
          <w:rFonts w:ascii="Arial" w:hAnsi="Arial" w:cs="Arial"/>
          <w:sz w:val="20"/>
          <w:szCs w:val="20"/>
          <w:lang w:val="en"/>
        </w:rPr>
        <w:t>tumours</w:t>
      </w:r>
      <w:proofErr w:type="spellEnd"/>
      <w:r w:rsidRPr="00B2280E">
        <w:rPr>
          <w:rFonts w:ascii="Arial" w:hAnsi="Arial" w:cs="Arial"/>
          <w:sz w:val="20"/>
          <w:szCs w:val="20"/>
          <w:lang w:val="en"/>
        </w:rPr>
        <w:t xml:space="preserve">. Lyon (France): International Agency for Research on Cancer; 2019. (WHO classification of </w:t>
      </w:r>
      <w:proofErr w:type="spellStart"/>
      <w:r w:rsidRPr="00B2280E">
        <w:rPr>
          <w:rFonts w:ascii="Arial" w:hAnsi="Arial" w:cs="Arial"/>
          <w:sz w:val="20"/>
          <w:szCs w:val="20"/>
          <w:lang w:val="en"/>
        </w:rPr>
        <w:t>tumours</w:t>
      </w:r>
      <w:proofErr w:type="spellEnd"/>
      <w:r w:rsidRPr="00B2280E">
        <w:rPr>
          <w:rFonts w:ascii="Arial" w:hAnsi="Arial" w:cs="Arial"/>
          <w:sz w:val="20"/>
          <w:szCs w:val="20"/>
          <w:lang w:val="en"/>
        </w:rPr>
        <w:t xml:space="preserve"> series, 5th ed.; vol. 1).</w:t>
      </w:r>
      <w:bookmarkStart w:id="11" w:name="R38703"/>
      <w:bookmarkEnd w:id="10"/>
    </w:p>
    <w:p w14:paraId="626B4EC7" w14:textId="77777777" w:rsidR="00B2280E" w:rsidRPr="00B2280E" w:rsidRDefault="00BC3FE6" w:rsidP="005402BC">
      <w:pPr>
        <w:pStyle w:val="ListParagraph"/>
        <w:numPr>
          <w:ilvl w:val="0"/>
          <w:numId w:val="6"/>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lastRenderedPageBreak/>
        <w:t xml:space="preserve">Rindi G, </w:t>
      </w:r>
      <w:proofErr w:type="spellStart"/>
      <w:r w:rsidRPr="00B2280E">
        <w:rPr>
          <w:rFonts w:ascii="Arial" w:hAnsi="Arial" w:cs="Arial"/>
          <w:sz w:val="20"/>
          <w:szCs w:val="20"/>
          <w:lang w:val="en"/>
        </w:rPr>
        <w:t>Kloppel</w:t>
      </w:r>
      <w:proofErr w:type="spellEnd"/>
      <w:r w:rsidRPr="00B2280E">
        <w:rPr>
          <w:rFonts w:ascii="Arial" w:hAnsi="Arial" w:cs="Arial"/>
          <w:sz w:val="20"/>
          <w:szCs w:val="20"/>
          <w:lang w:val="en"/>
        </w:rPr>
        <w:t xml:space="preserve"> G, </w:t>
      </w:r>
      <w:proofErr w:type="spellStart"/>
      <w:r w:rsidRPr="00B2280E">
        <w:rPr>
          <w:rFonts w:ascii="Arial" w:hAnsi="Arial" w:cs="Arial"/>
          <w:sz w:val="20"/>
          <w:szCs w:val="20"/>
          <w:lang w:val="en"/>
        </w:rPr>
        <w:t>Alhman</w:t>
      </w:r>
      <w:proofErr w:type="spellEnd"/>
      <w:r w:rsidRPr="00B2280E">
        <w:rPr>
          <w:rFonts w:ascii="Arial" w:hAnsi="Arial" w:cs="Arial"/>
          <w:sz w:val="20"/>
          <w:szCs w:val="20"/>
          <w:lang w:val="en"/>
        </w:rPr>
        <w:t xml:space="preserve"> H, et al; and all other Frascati Consensus Conference participants; European Neuroendocrine Tumor Society (ENETS). TNM staging of foregut (neuro) endocrine tumors: a consensus proposal including a grading system. </w:t>
      </w:r>
      <w:proofErr w:type="spellStart"/>
      <w:r w:rsidRPr="00B2280E">
        <w:rPr>
          <w:rStyle w:val="Emphasis"/>
          <w:rFonts w:ascii="Arial" w:hAnsi="Arial" w:cs="Arial"/>
          <w:sz w:val="20"/>
          <w:szCs w:val="20"/>
          <w:lang w:val="en"/>
        </w:rPr>
        <w:t>Virchows</w:t>
      </w:r>
      <w:proofErr w:type="spellEnd"/>
      <w:r w:rsidRPr="00B2280E">
        <w:rPr>
          <w:rStyle w:val="Emphasis"/>
          <w:rFonts w:ascii="Arial" w:hAnsi="Arial" w:cs="Arial"/>
          <w:sz w:val="20"/>
          <w:szCs w:val="20"/>
          <w:lang w:val="en"/>
        </w:rPr>
        <w:t xml:space="preserve"> Arch</w:t>
      </w:r>
      <w:r w:rsidRPr="00B2280E">
        <w:rPr>
          <w:rFonts w:ascii="Arial" w:hAnsi="Arial" w:cs="Arial"/>
          <w:sz w:val="20"/>
          <w:szCs w:val="20"/>
          <w:lang w:val="en"/>
        </w:rPr>
        <w:t>. 2006;449(4):395-401.</w:t>
      </w:r>
      <w:bookmarkStart w:id="12" w:name="R38704"/>
      <w:bookmarkEnd w:id="11"/>
    </w:p>
    <w:p w14:paraId="021888B5" w14:textId="77777777" w:rsidR="00B2280E" w:rsidRPr="00B2280E" w:rsidRDefault="00BC3FE6" w:rsidP="005402BC">
      <w:pPr>
        <w:pStyle w:val="ListParagraph"/>
        <w:numPr>
          <w:ilvl w:val="0"/>
          <w:numId w:val="6"/>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Tang LH, Gonen M, Hedvat C, Modlin I, </w:t>
      </w:r>
      <w:proofErr w:type="spellStart"/>
      <w:r w:rsidRPr="00B2280E">
        <w:rPr>
          <w:rFonts w:ascii="Arial" w:hAnsi="Arial" w:cs="Arial"/>
          <w:sz w:val="20"/>
          <w:szCs w:val="20"/>
          <w:lang w:val="en"/>
        </w:rPr>
        <w:t>Klimstra</w:t>
      </w:r>
      <w:proofErr w:type="spellEnd"/>
      <w:r w:rsidRPr="00B2280E">
        <w:rPr>
          <w:rFonts w:ascii="Arial" w:hAnsi="Arial" w:cs="Arial"/>
          <w:sz w:val="20"/>
          <w:szCs w:val="20"/>
          <w:lang w:val="en"/>
        </w:rPr>
        <w:t xml:space="preserve"> DS. Objective quantification of the Ki67 proliferative index in neuroendocrine tumors of </w:t>
      </w:r>
      <w:proofErr w:type="spellStart"/>
      <w:r w:rsidRPr="00B2280E">
        <w:rPr>
          <w:rFonts w:ascii="Arial" w:hAnsi="Arial" w:cs="Arial"/>
          <w:sz w:val="20"/>
          <w:szCs w:val="20"/>
          <w:lang w:val="en"/>
        </w:rPr>
        <w:t>gastroenteropancreatic</w:t>
      </w:r>
      <w:proofErr w:type="spellEnd"/>
      <w:r w:rsidRPr="00B2280E">
        <w:rPr>
          <w:rFonts w:ascii="Arial" w:hAnsi="Arial" w:cs="Arial"/>
          <w:sz w:val="20"/>
          <w:szCs w:val="20"/>
          <w:lang w:val="en"/>
        </w:rPr>
        <w:t xml:space="preserve"> system: a comparison of digital image analysis with manual methods</w:t>
      </w:r>
      <w:r w:rsidRPr="00B2280E">
        <w:rPr>
          <w:rStyle w:val="Emphasis"/>
          <w:rFonts w:ascii="Arial" w:hAnsi="Arial" w:cs="Arial"/>
          <w:sz w:val="20"/>
          <w:szCs w:val="20"/>
          <w:lang w:val="en"/>
        </w:rPr>
        <w:t xml:space="preserve">. Am J Surg </w:t>
      </w:r>
      <w:proofErr w:type="spellStart"/>
      <w:r w:rsidRPr="00B2280E">
        <w:rPr>
          <w:rStyle w:val="Emphasis"/>
          <w:rFonts w:ascii="Arial" w:hAnsi="Arial" w:cs="Arial"/>
          <w:sz w:val="20"/>
          <w:szCs w:val="20"/>
          <w:lang w:val="en"/>
        </w:rPr>
        <w:t>Pathol</w:t>
      </w:r>
      <w:proofErr w:type="spellEnd"/>
      <w:r w:rsidRPr="00B2280E">
        <w:rPr>
          <w:rFonts w:ascii="Arial" w:hAnsi="Arial" w:cs="Arial"/>
          <w:sz w:val="20"/>
          <w:szCs w:val="20"/>
          <w:lang w:val="en"/>
        </w:rPr>
        <w:t>. 2012;36(12):1761-1770.</w:t>
      </w:r>
      <w:bookmarkStart w:id="13" w:name="R38705"/>
      <w:bookmarkEnd w:id="12"/>
    </w:p>
    <w:p w14:paraId="50CCC013" w14:textId="77777777" w:rsidR="00B2280E" w:rsidRPr="00B2280E" w:rsidRDefault="00BC3FE6" w:rsidP="005402BC">
      <w:pPr>
        <w:pStyle w:val="ListParagraph"/>
        <w:numPr>
          <w:ilvl w:val="0"/>
          <w:numId w:val="6"/>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Reid MD, Bagci P, </w:t>
      </w:r>
      <w:proofErr w:type="spellStart"/>
      <w:r w:rsidRPr="00B2280E">
        <w:rPr>
          <w:rFonts w:ascii="Arial" w:hAnsi="Arial" w:cs="Arial"/>
          <w:sz w:val="20"/>
          <w:szCs w:val="20"/>
          <w:lang w:val="en"/>
        </w:rPr>
        <w:t>Ohike</w:t>
      </w:r>
      <w:proofErr w:type="spellEnd"/>
      <w:r w:rsidRPr="00B2280E">
        <w:rPr>
          <w:rFonts w:ascii="Arial" w:hAnsi="Arial" w:cs="Arial"/>
          <w:sz w:val="20"/>
          <w:szCs w:val="20"/>
          <w:lang w:val="en"/>
        </w:rPr>
        <w:t xml:space="preserve"> N, et al. Calculation of the Ki67 index in pancreatic neuroendocrine tumors: a comparative analysis of four counting methodologies. </w:t>
      </w:r>
      <w:r w:rsidRPr="00B2280E">
        <w:rPr>
          <w:rStyle w:val="Emphasis"/>
          <w:rFonts w:ascii="Arial" w:hAnsi="Arial" w:cs="Arial"/>
          <w:sz w:val="20"/>
          <w:szCs w:val="20"/>
          <w:lang w:val="en"/>
        </w:rPr>
        <w:t xml:space="preserve">Mod </w:t>
      </w:r>
      <w:proofErr w:type="spellStart"/>
      <w:r w:rsidRPr="00B2280E">
        <w:rPr>
          <w:rStyle w:val="Emphasis"/>
          <w:rFonts w:ascii="Arial" w:hAnsi="Arial" w:cs="Arial"/>
          <w:sz w:val="20"/>
          <w:szCs w:val="20"/>
          <w:lang w:val="en"/>
        </w:rPr>
        <w:t>Pathol</w:t>
      </w:r>
      <w:proofErr w:type="spellEnd"/>
      <w:r w:rsidRPr="00B2280E">
        <w:rPr>
          <w:rFonts w:ascii="Arial" w:hAnsi="Arial" w:cs="Arial"/>
          <w:sz w:val="20"/>
          <w:szCs w:val="20"/>
          <w:lang w:val="en"/>
        </w:rPr>
        <w:t>. 2016;29(1):93.</w:t>
      </w:r>
      <w:bookmarkStart w:id="14" w:name="R38706"/>
      <w:bookmarkEnd w:id="13"/>
    </w:p>
    <w:p w14:paraId="46AFE6E2" w14:textId="77777777" w:rsidR="00B2280E" w:rsidRPr="00B2280E" w:rsidRDefault="00BC3FE6" w:rsidP="005402BC">
      <w:pPr>
        <w:pStyle w:val="ListParagraph"/>
        <w:numPr>
          <w:ilvl w:val="0"/>
          <w:numId w:val="6"/>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Shi C, </w:t>
      </w:r>
      <w:proofErr w:type="spellStart"/>
      <w:r w:rsidRPr="00B2280E">
        <w:rPr>
          <w:rFonts w:ascii="Arial" w:hAnsi="Arial" w:cs="Arial"/>
          <w:sz w:val="20"/>
          <w:szCs w:val="20"/>
          <w:lang w:val="en"/>
        </w:rPr>
        <w:t>Klimstra</w:t>
      </w:r>
      <w:proofErr w:type="spellEnd"/>
      <w:r w:rsidRPr="00B2280E">
        <w:rPr>
          <w:rFonts w:ascii="Arial" w:hAnsi="Arial" w:cs="Arial"/>
          <w:sz w:val="20"/>
          <w:szCs w:val="20"/>
          <w:lang w:val="en"/>
        </w:rPr>
        <w:t xml:space="preserve"> DS. Pancreatic neuroendocrine tumors: pathologic and molecular characteristics</w:t>
      </w:r>
      <w:r w:rsidRPr="00B2280E">
        <w:rPr>
          <w:rStyle w:val="Emphasis"/>
          <w:rFonts w:ascii="Arial" w:hAnsi="Arial" w:cs="Arial"/>
          <w:sz w:val="20"/>
          <w:szCs w:val="20"/>
          <w:lang w:val="en"/>
        </w:rPr>
        <w:t xml:space="preserve">. Semin </w:t>
      </w:r>
      <w:proofErr w:type="spellStart"/>
      <w:r w:rsidRPr="00B2280E">
        <w:rPr>
          <w:rStyle w:val="Emphasis"/>
          <w:rFonts w:ascii="Arial" w:hAnsi="Arial" w:cs="Arial"/>
          <w:sz w:val="20"/>
          <w:szCs w:val="20"/>
          <w:lang w:val="en"/>
        </w:rPr>
        <w:t>Diagn</w:t>
      </w:r>
      <w:proofErr w:type="spellEnd"/>
      <w:r w:rsidRPr="00B2280E">
        <w:rPr>
          <w:rStyle w:val="Emphasis"/>
          <w:rFonts w:ascii="Arial" w:hAnsi="Arial" w:cs="Arial"/>
          <w:sz w:val="20"/>
          <w:szCs w:val="20"/>
          <w:lang w:val="en"/>
        </w:rPr>
        <w:t xml:space="preserve"> </w:t>
      </w:r>
      <w:proofErr w:type="spellStart"/>
      <w:r w:rsidRPr="00B2280E">
        <w:rPr>
          <w:rStyle w:val="Emphasis"/>
          <w:rFonts w:ascii="Arial" w:hAnsi="Arial" w:cs="Arial"/>
          <w:sz w:val="20"/>
          <w:szCs w:val="20"/>
          <w:lang w:val="en"/>
        </w:rPr>
        <w:t>Pathol</w:t>
      </w:r>
      <w:proofErr w:type="spellEnd"/>
      <w:r w:rsidRPr="00B2280E">
        <w:rPr>
          <w:rStyle w:val="Emphasis"/>
          <w:rFonts w:ascii="Arial" w:hAnsi="Arial" w:cs="Arial"/>
          <w:sz w:val="20"/>
          <w:szCs w:val="20"/>
          <w:lang w:val="en"/>
        </w:rPr>
        <w:t>.</w:t>
      </w:r>
      <w:r w:rsidRPr="00B2280E">
        <w:rPr>
          <w:rFonts w:ascii="Arial" w:hAnsi="Arial" w:cs="Arial"/>
          <w:sz w:val="20"/>
          <w:szCs w:val="20"/>
          <w:lang w:val="en"/>
        </w:rPr>
        <w:t xml:space="preserve"> 2014;31(6):498-511.</w:t>
      </w:r>
      <w:bookmarkStart w:id="15" w:name="R38707"/>
      <w:bookmarkEnd w:id="14"/>
    </w:p>
    <w:p w14:paraId="7EC35300" w14:textId="77777777" w:rsidR="00B2280E" w:rsidRPr="00B2280E" w:rsidRDefault="00BC3FE6" w:rsidP="005402BC">
      <w:pPr>
        <w:pStyle w:val="ListParagraph"/>
        <w:numPr>
          <w:ilvl w:val="0"/>
          <w:numId w:val="6"/>
        </w:numPr>
        <w:spacing w:after="0" w:line="276" w:lineRule="auto"/>
        <w:jc w:val="both"/>
        <w:rPr>
          <w:rFonts w:ascii="Arial" w:eastAsia="Times New Roman" w:hAnsi="Arial" w:cs="Arial"/>
          <w:sz w:val="20"/>
          <w:szCs w:val="20"/>
          <w:lang w:val="en"/>
        </w:rPr>
      </w:pPr>
      <w:proofErr w:type="spellStart"/>
      <w:r w:rsidRPr="00B2280E">
        <w:rPr>
          <w:rFonts w:ascii="Arial" w:hAnsi="Arial" w:cs="Arial"/>
          <w:sz w:val="20"/>
          <w:szCs w:val="20"/>
          <w:lang w:val="en"/>
        </w:rPr>
        <w:t>Yachida</w:t>
      </w:r>
      <w:proofErr w:type="spellEnd"/>
      <w:r w:rsidRPr="00B2280E">
        <w:rPr>
          <w:rFonts w:ascii="Arial" w:hAnsi="Arial" w:cs="Arial"/>
          <w:sz w:val="20"/>
          <w:szCs w:val="20"/>
          <w:lang w:val="en"/>
        </w:rPr>
        <w:t xml:space="preserve"> S, </w:t>
      </w:r>
      <w:proofErr w:type="spellStart"/>
      <w:r w:rsidRPr="00B2280E">
        <w:rPr>
          <w:rFonts w:ascii="Arial" w:hAnsi="Arial" w:cs="Arial"/>
          <w:sz w:val="20"/>
          <w:szCs w:val="20"/>
          <w:lang w:val="en"/>
        </w:rPr>
        <w:t>Vakiani</w:t>
      </w:r>
      <w:proofErr w:type="spellEnd"/>
      <w:r w:rsidRPr="00B2280E">
        <w:rPr>
          <w:rFonts w:ascii="Arial" w:hAnsi="Arial" w:cs="Arial"/>
          <w:sz w:val="20"/>
          <w:szCs w:val="20"/>
          <w:lang w:val="en"/>
        </w:rPr>
        <w:t xml:space="preserve"> E, White CM, Zhong Y, Saunders T, Morgan R et al. </w:t>
      </w:r>
      <w:proofErr w:type="gramStart"/>
      <w:r w:rsidRPr="00B2280E">
        <w:rPr>
          <w:rFonts w:ascii="Arial" w:hAnsi="Arial" w:cs="Arial"/>
          <w:sz w:val="20"/>
          <w:szCs w:val="20"/>
          <w:lang w:val="en"/>
        </w:rPr>
        <w:t>Small</w:t>
      </w:r>
      <w:proofErr w:type="gramEnd"/>
      <w:r w:rsidRPr="00B2280E">
        <w:rPr>
          <w:rFonts w:ascii="Arial" w:hAnsi="Arial" w:cs="Arial"/>
          <w:sz w:val="20"/>
          <w:szCs w:val="20"/>
          <w:lang w:val="en"/>
        </w:rPr>
        <w:t xml:space="preserve"> cell and large cell neuroendocrine carcinomas of the pancreas are genetically similar and distinct from well-differentiated pancreatic neuroendocrine tumors. </w:t>
      </w:r>
      <w:r w:rsidRPr="00B2280E">
        <w:rPr>
          <w:rStyle w:val="Emphasis"/>
          <w:rFonts w:ascii="Arial" w:hAnsi="Arial" w:cs="Arial"/>
          <w:sz w:val="20"/>
          <w:szCs w:val="20"/>
          <w:lang w:val="en"/>
        </w:rPr>
        <w:t xml:space="preserve">Am J Surg </w:t>
      </w:r>
      <w:proofErr w:type="spellStart"/>
      <w:r w:rsidRPr="00B2280E">
        <w:rPr>
          <w:rStyle w:val="Emphasis"/>
          <w:rFonts w:ascii="Arial" w:hAnsi="Arial" w:cs="Arial"/>
          <w:sz w:val="20"/>
          <w:szCs w:val="20"/>
          <w:lang w:val="en"/>
        </w:rPr>
        <w:t>Pathol</w:t>
      </w:r>
      <w:proofErr w:type="spellEnd"/>
      <w:r w:rsidRPr="00B2280E">
        <w:rPr>
          <w:rFonts w:ascii="Arial" w:hAnsi="Arial" w:cs="Arial"/>
          <w:sz w:val="20"/>
          <w:szCs w:val="20"/>
          <w:lang w:val="en"/>
        </w:rPr>
        <w:t>. 2012;36(2):173-184.</w:t>
      </w:r>
      <w:bookmarkStart w:id="16" w:name="R38708"/>
      <w:bookmarkEnd w:id="15"/>
    </w:p>
    <w:p w14:paraId="32BB0C92" w14:textId="77777777" w:rsidR="00B2280E" w:rsidRPr="00B2280E" w:rsidRDefault="00BC3FE6" w:rsidP="005402BC">
      <w:pPr>
        <w:pStyle w:val="ListParagraph"/>
        <w:numPr>
          <w:ilvl w:val="0"/>
          <w:numId w:val="6"/>
        </w:numPr>
        <w:spacing w:after="0" w:line="276" w:lineRule="auto"/>
        <w:jc w:val="both"/>
        <w:rPr>
          <w:rFonts w:ascii="Arial" w:eastAsia="Times New Roman" w:hAnsi="Arial" w:cs="Arial"/>
          <w:sz w:val="20"/>
          <w:szCs w:val="20"/>
          <w:lang w:val="en"/>
        </w:rPr>
      </w:pPr>
      <w:proofErr w:type="spellStart"/>
      <w:r w:rsidRPr="00B2280E">
        <w:rPr>
          <w:rFonts w:ascii="Arial" w:hAnsi="Arial" w:cs="Arial"/>
          <w:sz w:val="20"/>
          <w:szCs w:val="20"/>
          <w:lang w:val="en"/>
        </w:rPr>
        <w:t>Sorbye</w:t>
      </w:r>
      <w:proofErr w:type="spellEnd"/>
      <w:r w:rsidRPr="00B2280E">
        <w:rPr>
          <w:rFonts w:ascii="Arial" w:hAnsi="Arial" w:cs="Arial"/>
          <w:sz w:val="20"/>
          <w:szCs w:val="20"/>
          <w:lang w:val="en"/>
        </w:rPr>
        <w:t xml:space="preserve"> H, </w:t>
      </w:r>
      <w:proofErr w:type="spellStart"/>
      <w:r w:rsidRPr="00B2280E">
        <w:rPr>
          <w:rFonts w:ascii="Arial" w:hAnsi="Arial" w:cs="Arial"/>
          <w:sz w:val="20"/>
          <w:szCs w:val="20"/>
          <w:lang w:val="en"/>
        </w:rPr>
        <w:t>Strosberg</w:t>
      </w:r>
      <w:proofErr w:type="spellEnd"/>
      <w:r w:rsidRPr="00B2280E">
        <w:rPr>
          <w:rFonts w:ascii="Arial" w:hAnsi="Arial" w:cs="Arial"/>
          <w:sz w:val="20"/>
          <w:szCs w:val="20"/>
          <w:lang w:val="en"/>
        </w:rPr>
        <w:t xml:space="preserve"> J, Baudin E, </w:t>
      </w:r>
      <w:proofErr w:type="spellStart"/>
      <w:r w:rsidRPr="00B2280E">
        <w:rPr>
          <w:rFonts w:ascii="Arial" w:hAnsi="Arial" w:cs="Arial"/>
          <w:sz w:val="20"/>
          <w:szCs w:val="20"/>
          <w:lang w:val="en"/>
        </w:rPr>
        <w:t>Klimstra</w:t>
      </w:r>
      <w:proofErr w:type="spellEnd"/>
      <w:r w:rsidRPr="00B2280E">
        <w:rPr>
          <w:rFonts w:ascii="Arial" w:hAnsi="Arial" w:cs="Arial"/>
          <w:sz w:val="20"/>
          <w:szCs w:val="20"/>
          <w:lang w:val="en"/>
        </w:rPr>
        <w:t xml:space="preserve"> DS, Yao JC. </w:t>
      </w:r>
      <w:proofErr w:type="spellStart"/>
      <w:r w:rsidRPr="00B2280E">
        <w:rPr>
          <w:rFonts w:ascii="Arial" w:hAnsi="Arial" w:cs="Arial"/>
          <w:sz w:val="20"/>
          <w:szCs w:val="20"/>
          <w:lang w:val="en"/>
        </w:rPr>
        <w:t>Gastroenteropancreatic</w:t>
      </w:r>
      <w:proofErr w:type="spellEnd"/>
      <w:r w:rsidRPr="00B2280E">
        <w:rPr>
          <w:rFonts w:ascii="Arial" w:hAnsi="Arial" w:cs="Arial"/>
          <w:sz w:val="20"/>
          <w:szCs w:val="20"/>
          <w:lang w:val="en"/>
        </w:rPr>
        <w:t xml:space="preserve"> high-grade neuroendocrine carcinoma. </w:t>
      </w:r>
      <w:r w:rsidRPr="00B2280E">
        <w:rPr>
          <w:rStyle w:val="Emphasis"/>
          <w:rFonts w:ascii="Arial" w:hAnsi="Arial" w:cs="Arial"/>
          <w:sz w:val="20"/>
          <w:szCs w:val="20"/>
          <w:lang w:val="en"/>
        </w:rPr>
        <w:t>Cancer</w:t>
      </w:r>
      <w:r w:rsidRPr="00B2280E">
        <w:rPr>
          <w:rFonts w:ascii="Arial" w:hAnsi="Arial" w:cs="Arial"/>
          <w:sz w:val="20"/>
          <w:szCs w:val="20"/>
          <w:lang w:val="en"/>
        </w:rPr>
        <w:t>. 2014;120(18):2814-2823.</w:t>
      </w:r>
      <w:bookmarkStart w:id="17" w:name="R38710"/>
      <w:bookmarkEnd w:id="16"/>
    </w:p>
    <w:p w14:paraId="3F449662" w14:textId="77777777" w:rsidR="00B2280E" w:rsidRPr="00B2280E" w:rsidRDefault="00BC3FE6" w:rsidP="005402BC">
      <w:pPr>
        <w:pStyle w:val="ListParagraph"/>
        <w:numPr>
          <w:ilvl w:val="0"/>
          <w:numId w:val="6"/>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AJCC Version 9 Neuroendocrine Tumors of the Appendi</w:t>
      </w:r>
      <w:r w:rsidRPr="00B2280E">
        <w:rPr>
          <w:rStyle w:val="Emphasis"/>
          <w:rFonts w:ascii="Arial" w:hAnsi="Arial" w:cs="Arial"/>
          <w:sz w:val="20"/>
          <w:szCs w:val="20"/>
          <w:lang w:val="en"/>
        </w:rPr>
        <w:t>x</w:t>
      </w:r>
      <w:r w:rsidRPr="00B2280E">
        <w:rPr>
          <w:rFonts w:ascii="Arial" w:hAnsi="Arial" w:cs="Arial"/>
          <w:sz w:val="20"/>
          <w:szCs w:val="20"/>
          <w:lang w:val="en"/>
        </w:rPr>
        <w:t xml:space="preserve"> Cancer Staging System. Copyright 2023 American College of Surgeons.</w:t>
      </w:r>
      <w:bookmarkStart w:id="18" w:name="N9010"/>
      <w:bookmarkEnd w:id="17"/>
    </w:p>
    <w:p w14:paraId="10017E4A" w14:textId="77777777" w:rsidR="00B2280E" w:rsidRDefault="00B2280E" w:rsidP="005402BC">
      <w:pPr>
        <w:spacing w:after="0" w:line="276" w:lineRule="auto"/>
        <w:jc w:val="both"/>
        <w:rPr>
          <w:rFonts w:ascii="Arial" w:eastAsia="Times New Roman" w:hAnsi="Arial" w:cs="Arial"/>
          <w:b/>
          <w:bCs/>
          <w:sz w:val="20"/>
          <w:szCs w:val="20"/>
          <w:lang w:val="en"/>
        </w:rPr>
      </w:pPr>
    </w:p>
    <w:p w14:paraId="6832C1F1"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b/>
          <w:bCs/>
          <w:sz w:val="20"/>
          <w:szCs w:val="20"/>
          <w:lang w:val="en"/>
        </w:rPr>
        <w:t>D. Tumor Size</w:t>
      </w:r>
      <w:bookmarkEnd w:id="18"/>
    </w:p>
    <w:p w14:paraId="1A120FBA" w14:textId="77777777" w:rsidR="00B2280E" w:rsidRDefault="00BC3FE6" w:rsidP="005402BC">
      <w:pPr>
        <w:spacing w:after="0" w:line="276" w:lineRule="auto"/>
        <w:jc w:val="both"/>
        <w:rPr>
          <w:rStyle w:val="Hyperlink"/>
          <w:rFonts w:ascii="Arial" w:eastAsia="Times New Roman" w:hAnsi="Arial" w:cs="Arial"/>
          <w:sz w:val="20"/>
          <w:szCs w:val="20"/>
          <w:vertAlign w:val="superscript"/>
          <w:lang w:val="en"/>
        </w:rPr>
      </w:pPr>
      <w:r w:rsidRPr="00B2280E">
        <w:rPr>
          <w:rFonts w:ascii="Arial" w:eastAsia="Times New Roman" w:hAnsi="Arial" w:cs="Arial"/>
          <w:sz w:val="20"/>
          <w:szCs w:val="20"/>
          <w:lang w:val="en"/>
        </w:rPr>
        <w:t>Appendiceal neuroendocrine tumors smaller than 1.0 cm do not recur or metastasize, whereas those between 1.0 and 2.0 cm rarely do.</w:t>
      </w:r>
      <w:hyperlink w:anchor="R38697" w:tooltip="Carr&#10;NJ, Sobin LH. Neuroendocrine tumors of the appendix. Semin Diagn Pathol.&#10;2004;21(2):108-119." w:history="1">
        <w:r w:rsidRPr="00B2280E">
          <w:rPr>
            <w:rStyle w:val="Hyperlink"/>
            <w:rFonts w:ascii="Arial" w:eastAsia="Times New Roman" w:hAnsi="Arial" w:cs="Arial"/>
            <w:sz w:val="20"/>
            <w:szCs w:val="20"/>
            <w:vertAlign w:val="superscript"/>
            <w:lang w:val="en"/>
          </w:rPr>
          <w:t>1</w:t>
        </w:r>
      </w:hyperlink>
      <w:r w:rsidRPr="00B2280E">
        <w:rPr>
          <w:rFonts w:ascii="Arial" w:eastAsia="Times New Roman" w:hAnsi="Arial" w:cs="Arial"/>
          <w:sz w:val="20"/>
          <w:szCs w:val="20"/>
          <w:lang w:val="en"/>
        </w:rPr>
        <w:t> A recent multi-center retrospective study on a large cohort of appendiceal NET between 1-2cm suggest that right hemicolectomy is not needed and further medical imaging or assessment of histopathologic risk factors provides no added advantage.</w:t>
      </w:r>
      <w:hyperlink w:anchor="R38698" w:tooltip="Nesti C, Brautigam K, Benavent M, et al. Hemicolectomy versus appendectomy for patients with appendiceal neuroendocrine tumours 1-2 cm in size: a retrospective, Europe-wide, pooled cohort study. Lancet Oncol. Feb 2023;24(2):187-194. doi:10.1016/S1470-2045(22)0" w:history="1">
        <w:r w:rsidRPr="00B2280E">
          <w:rPr>
            <w:rStyle w:val="Hyperlink"/>
            <w:rFonts w:ascii="Arial" w:eastAsia="Times New Roman" w:hAnsi="Arial" w:cs="Arial"/>
            <w:sz w:val="20"/>
            <w:szCs w:val="20"/>
            <w:vertAlign w:val="superscript"/>
            <w:lang w:val="en"/>
          </w:rPr>
          <w:t>2</w:t>
        </w:r>
      </w:hyperlink>
      <w:r w:rsidRPr="00B2280E">
        <w:rPr>
          <w:rFonts w:ascii="Arial" w:eastAsia="Times New Roman" w:hAnsi="Arial" w:cs="Arial"/>
          <w:sz w:val="20"/>
          <w:szCs w:val="20"/>
          <w:lang w:val="en"/>
        </w:rPr>
        <w:t xml:space="preserve">Tumor size &gt;2.0 cm and </w:t>
      </w:r>
      <w:proofErr w:type="spellStart"/>
      <w:r w:rsidRPr="00B2280E">
        <w:rPr>
          <w:rFonts w:ascii="Arial" w:eastAsia="Times New Roman" w:hAnsi="Arial" w:cs="Arial"/>
          <w:sz w:val="20"/>
          <w:szCs w:val="20"/>
          <w:lang w:val="en"/>
        </w:rPr>
        <w:t>mesoappendiceal</w:t>
      </w:r>
      <w:proofErr w:type="spellEnd"/>
      <w:r w:rsidRPr="00B2280E">
        <w:rPr>
          <w:rFonts w:ascii="Arial" w:eastAsia="Times New Roman" w:hAnsi="Arial" w:cs="Arial"/>
          <w:sz w:val="20"/>
          <w:szCs w:val="20"/>
          <w:lang w:val="en"/>
        </w:rPr>
        <w:t xml:space="preserve"> invasion</w:t>
      </w:r>
      <w:hyperlink w:anchor="R38699" w:tooltip="Syracuse DC, Perzin KH, Price JB, Wiedel PD, Mesa-Tejada R. Carcinoid tumors of the appendix: mesoappendiceal extension and nodal metastases. Ann Surg. 1979;190(1):58-63." w:history="1">
        <w:r w:rsidRPr="00B2280E">
          <w:rPr>
            <w:rStyle w:val="Hyperlink"/>
            <w:rFonts w:ascii="Arial" w:eastAsia="Times New Roman" w:hAnsi="Arial" w:cs="Arial"/>
            <w:sz w:val="20"/>
            <w:szCs w:val="20"/>
            <w:vertAlign w:val="superscript"/>
            <w:lang w:val="en"/>
          </w:rPr>
          <w:t>3,</w:t>
        </w:r>
      </w:hyperlink>
      <w:hyperlink w:anchor="R60967" w:tooltip="Rossi G, Valli R, Bertolini F, et al. Does mesoappendix infiltration predict a worse prognosis in incidental neuroendocrine tumors of the appendix?: a clinicopathologic and immunohistochemical study of 15 cases. Am J Clin Pathol. 2003;120(5):706-711." w:history="1">
        <w:r w:rsidRPr="00B2280E">
          <w:rPr>
            <w:rStyle w:val="Hyperlink"/>
            <w:rFonts w:ascii="Arial" w:eastAsia="Times New Roman" w:hAnsi="Arial" w:cs="Arial"/>
            <w:sz w:val="20"/>
            <w:szCs w:val="20"/>
            <w:vertAlign w:val="superscript"/>
            <w:lang w:val="en"/>
          </w:rPr>
          <w:t>4</w:t>
        </w:r>
      </w:hyperlink>
      <w:r w:rsidRPr="00B2280E">
        <w:rPr>
          <w:rFonts w:ascii="Arial" w:eastAsia="Times New Roman" w:hAnsi="Arial" w:cs="Arial"/>
          <w:sz w:val="20"/>
          <w:szCs w:val="20"/>
          <w:lang w:val="en"/>
        </w:rPr>
        <w:t> have been correlated with nodal metastasis, but not with poor outcome.</w:t>
      </w:r>
      <w:hyperlink w:anchor="R60967" w:tooltip="Rossi G, Valli R, Bertolini F, et al. Does mesoappendix infiltration predict a worse prognosis in incidental neuroendocrine tumors of the appendix?: a clinicopathologic and immunohistochemical study of 15 cases. Am J Clin Pathol. 2003;120(5):706-711." w:history="1">
        <w:r w:rsidRPr="00B2280E">
          <w:rPr>
            <w:rStyle w:val="Hyperlink"/>
            <w:rFonts w:ascii="Arial" w:eastAsia="Times New Roman" w:hAnsi="Arial" w:cs="Arial"/>
            <w:sz w:val="20"/>
            <w:szCs w:val="20"/>
            <w:vertAlign w:val="superscript"/>
            <w:lang w:val="en"/>
          </w:rPr>
          <w:t>4</w:t>
        </w:r>
      </w:hyperlink>
      <w:r w:rsidRPr="00B2280E">
        <w:rPr>
          <w:rFonts w:ascii="Arial" w:eastAsia="Times New Roman" w:hAnsi="Arial" w:cs="Arial"/>
          <w:sz w:val="20"/>
          <w:szCs w:val="20"/>
          <w:lang w:val="en"/>
        </w:rPr>
        <w:t xml:space="preserve"> For these reasons, appendectomy is usually sufficient for tumors 1.0 cm or smaller, as well as many tumors between 1.0 and 2.0 cm.  More extensive procedures (e.g., right hemicolectomy) are usually reserved for patients with tumors larger than 2.0 cm or with invasion beyond the muscularis propria. Most appendiceal neuroendocrine tumors are identified incidentally, usually for the first time on histology but sometimes during gross examination. When initially identified on histology, the entire appendix including the surgical resection margin should be submitted for histology. In this scenario, the size is estimated by number of slides involved by tumor and approximate thickness of tissue slice in each block. While the thickness of the tissue slices tends to vary between labs, </w:t>
      </w:r>
      <w:proofErr w:type="spellStart"/>
      <w:r w:rsidRPr="00B2280E">
        <w:rPr>
          <w:rFonts w:ascii="Arial" w:eastAsia="Times New Roman" w:hAnsi="Arial" w:cs="Arial"/>
          <w:sz w:val="20"/>
          <w:szCs w:val="20"/>
          <w:lang w:val="en"/>
        </w:rPr>
        <w:t>prosectors</w:t>
      </w:r>
      <w:proofErr w:type="spellEnd"/>
      <w:r w:rsidRPr="00B2280E">
        <w:rPr>
          <w:rFonts w:ascii="Arial" w:eastAsia="Times New Roman" w:hAnsi="Arial" w:cs="Arial"/>
          <w:sz w:val="20"/>
          <w:szCs w:val="20"/>
          <w:lang w:val="en"/>
        </w:rPr>
        <w:t xml:space="preserve"> and cases, these typically range between 2-5mm and an average thickness of 3mm can be used to estimate the tumor size.</w:t>
      </w:r>
      <w:hyperlink w:anchor="R60968" w:tooltip="Sheehan DC, Hrapchak BB. Theory and practice of histotechnology. 2nd ed. Battelle Press ; Distributed by Lipshaw; 1987:xiii, 481 p., 2 p. of plates." w:history="1">
        <w:r w:rsidRPr="00B2280E">
          <w:rPr>
            <w:rStyle w:val="Hyperlink"/>
            <w:rFonts w:ascii="Arial" w:eastAsia="Times New Roman" w:hAnsi="Arial" w:cs="Arial"/>
            <w:sz w:val="20"/>
            <w:szCs w:val="20"/>
            <w:vertAlign w:val="superscript"/>
            <w:lang w:val="en"/>
          </w:rPr>
          <w:t>5</w:t>
        </w:r>
      </w:hyperlink>
      <w:r w:rsidRPr="00B2280E">
        <w:rPr>
          <w:rFonts w:ascii="Arial" w:eastAsia="Times New Roman" w:hAnsi="Arial" w:cs="Arial"/>
          <w:sz w:val="20"/>
          <w:szCs w:val="20"/>
          <w:lang w:val="en"/>
        </w:rPr>
        <w:t> Between gross examination and histologic evaluation, the largest size estimated should be ascribed to a given case for staging.</w:t>
      </w:r>
      <w:hyperlink w:anchor="R60969" w:tooltip="AJCC Version 9 Neuroendocrine Tumors of the Appendix Cancer Staging System. Copyright 2023 American College of Surgeons." w:history="1">
        <w:r w:rsidRPr="00B2280E">
          <w:rPr>
            <w:rStyle w:val="Hyperlink"/>
            <w:rFonts w:ascii="Arial" w:eastAsia="Times New Roman" w:hAnsi="Arial" w:cs="Arial"/>
            <w:sz w:val="20"/>
            <w:szCs w:val="20"/>
            <w:vertAlign w:val="superscript"/>
            <w:lang w:val="en"/>
          </w:rPr>
          <w:t>6</w:t>
        </w:r>
      </w:hyperlink>
    </w:p>
    <w:p w14:paraId="7D3AC7E4" w14:textId="77777777" w:rsidR="00B2280E" w:rsidRDefault="00B2280E" w:rsidP="005402BC">
      <w:pPr>
        <w:spacing w:after="0" w:line="276" w:lineRule="auto"/>
        <w:jc w:val="both"/>
        <w:rPr>
          <w:rStyle w:val="Hyperlink"/>
          <w:rFonts w:ascii="Arial" w:eastAsia="Times New Roman" w:hAnsi="Arial" w:cs="Arial"/>
          <w:sz w:val="20"/>
          <w:szCs w:val="20"/>
          <w:vertAlign w:val="superscript"/>
          <w:lang w:val="en"/>
        </w:rPr>
      </w:pPr>
    </w:p>
    <w:p w14:paraId="12F7DE2D" w14:textId="77777777" w:rsidR="00B2280E" w:rsidRDefault="00BC3FE6" w:rsidP="005402BC">
      <w:p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References</w:t>
      </w:r>
      <w:bookmarkStart w:id="19" w:name="R38697"/>
    </w:p>
    <w:p w14:paraId="4FA3FC17" w14:textId="77777777" w:rsidR="00B2280E" w:rsidRPr="00B2280E" w:rsidRDefault="00BC3FE6" w:rsidP="005402BC">
      <w:pPr>
        <w:pStyle w:val="ListParagraph"/>
        <w:numPr>
          <w:ilvl w:val="0"/>
          <w:numId w:val="7"/>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Carr NJ, Sobin LH. Neuroendocrine tumors of the appendix. </w:t>
      </w:r>
      <w:r w:rsidRPr="00B2280E">
        <w:rPr>
          <w:rStyle w:val="Emphasis"/>
          <w:rFonts w:ascii="Arial" w:hAnsi="Arial" w:cs="Arial"/>
          <w:sz w:val="20"/>
          <w:szCs w:val="20"/>
          <w:lang w:val="en"/>
        </w:rPr>
        <w:t xml:space="preserve">Semin </w:t>
      </w:r>
      <w:proofErr w:type="spellStart"/>
      <w:r w:rsidRPr="00B2280E">
        <w:rPr>
          <w:rStyle w:val="Emphasis"/>
          <w:rFonts w:ascii="Arial" w:hAnsi="Arial" w:cs="Arial"/>
          <w:sz w:val="20"/>
          <w:szCs w:val="20"/>
          <w:lang w:val="en"/>
        </w:rPr>
        <w:t>Diagn</w:t>
      </w:r>
      <w:proofErr w:type="spellEnd"/>
      <w:r w:rsidRPr="00B2280E">
        <w:rPr>
          <w:rStyle w:val="Emphasis"/>
          <w:rFonts w:ascii="Arial" w:hAnsi="Arial" w:cs="Arial"/>
          <w:sz w:val="20"/>
          <w:szCs w:val="20"/>
          <w:lang w:val="en"/>
        </w:rPr>
        <w:t xml:space="preserve"> </w:t>
      </w:r>
      <w:proofErr w:type="spellStart"/>
      <w:r w:rsidRPr="00B2280E">
        <w:rPr>
          <w:rStyle w:val="Emphasis"/>
          <w:rFonts w:ascii="Arial" w:hAnsi="Arial" w:cs="Arial"/>
          <w:sz w:val="20"/>
          <w:szCs w:val="20"/>
          <w:lang w:val="en"/>
        </w:rPr>
        <w:t>Pathol</w:t>
      </w:r>
      <w:proofErr w:type="spellEnd"/>
      <w:r w:rsidRPr="00B2280E">
        <w:rPr>
          <w:rFonts w:ascii="Arial" w:hAnsi="Arial" w:cs="Arial"/>
          <w:sz w:val="20"/>
          <w:szCs w:val="20"/>
          <w:lang w:val="en"/>
        </w:rPr>
        <w:t>. 2004;21(2):108-119.</w:t>
      </w:r>
      <w:bookmarkStart w:id="20" w:name="R38698"/>
      <w:bookmarkEnd w:id="19"/>
    </w:p>
    <w:p w14:paraId="375718F2" w14:textId="77777777" w:rsidR="00B2280E" w:rsidRPr="00B2280E" w:rsidRDefault="00BC3FE6" w:rsidP="005402BC">
      <w:pPr>
        <w:pStyle w:val="ListParagraph"/>
        <w:numPr>
          <w:ilvl w:val="0"/>
          <w:numId w:val="7"/>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Nesti C, Brautigam K, </w:t>
      </w:r>
      <w:proofErr w:type="spellStart"/>
      <w:r w:rsidRPr="00B2280E">
        <w:rPr>
          <w:rFonts w:ascii="Arial" w:hAnsi="Arial" w:cs="Arial"/>
          <w:sz w:val="20"/>
          <w:szCs w:val="20"/>
          <w:lang w:val="en"/>
        </w:rPr>
        <w:t>Benavent</w:t>
      </w:r>
      <w:proofErr w:type="spellEnd"/>
      <w:r w:rsidRPr="00B2280E">
        <w:rPr>
          <w:rFonts w:ascii="Arial" w:hAnsi="Arial" w:cs="Arial"/>
          <w:sz w:val="20"/>
          <w:szCs w:val="20"/>
          <w:lang w:val="en"/>
        </w:rPr>
        <w:t xml:space="preserve"> M, et al. Hemicolectomy versus appendectomy for patients with appendiceal neuroendocrine </w:t>
      </w:r>
      <w:proofErr w:type="spellStart"/>
      <w:r w:rsidRPr="00B2280E">
        <w:rPr>
          <w:rFonts w:ascii="Arial" w:hAnsi="Arial" w:cs="Arial"/>
          <w:sz w:val="20"/>
          <w:szCs w:val="20"/>
          <w:lang w:val="en"/>
        </w:rPr>
        <w:t>tumours</w:t>
      </w:r>
      <w:proofErr w:type="spellEnd"/>
      <w:r w:rsidRPr="00B2280E">
        <w:rPr>
          <w:rFonts w:ascii="Arial" w:hAnsi="Arial" w:cs="Arial"/>
          <w:sz w:val="20"/>
          <w:szCs w:val="20"/>
          <w:lang w:val="en"/>
        </w:rPr>
        <w:t xml:space="preserve"> 1-2 cm in size: a retrospective, Europe-wide, pooled cohort study. </w:t>
      </w:r>
      <w:r w:rsidRPr="00B2280E">
        <w:rPr>
          <w:rStyle w:val="Emphasis"/>
          <w:rFonts w:ascii="Arial" w:hAnsi="Arial" w:cs="Arial"/>
          <w:sz w:val="20"/>
          <w:szCs w:val="20"/>
          <w:lang w:val="en"/>
        </w:rPr>
        <w:t>Lancet Oncol.</w:t>
      </w:r>
      <w:r w:rsidRPr="00B2280E">
        <w:rPr>
          <w:rFonts w:ascii="Arial" w:hAnsi="Arial" w:cs="Arial"/>
          <w:sz w:val="20"/>
          <w:szCs w:val="20"/>
          <w:lang w:val="en"/>
        </w:rPr>
        <w:t xml:space="preserve"> Feb 2023;24(2):187-194. doi:10.1016/S1470-2045(22)00750-1</w:t>
      </w:r>
      <w:bookmarkStart w:id="21" w:name="R38699"/>
      <w:bookmarkEnd w:id="20"/>
    </w:p>
    <w:p w14:paraId="67D1612B" w14:textId="77777777" w:rsidR="00B2280E" w:rsidRPr="00B2280E" w:rsidRDefault="00BC3FE6" w:rsidP="005402BC">
      <w:pPr>
        <w:pStyle w:val="ListParagraph"/>
        <w:numPr>
          <w:ilvl w:val="0"/>
          <w:numId w:val="7"/>
        </w:numPr>
        <w:spacing w:after="0" w:line="276" w:lineRule="auto"/>
        <w:jc w:val="both"/>
        <w:rPr>
          <w:rFonts w:ascii="Arial" w:eastAsia="Times New Roman" w:hAnsi="Arial" w:cs="Arial"/>
          <w:sz w:val="20"/>
          <w:szCs w:val="20"/>
          <w:lang w:val="en"/>
        </w:rPr>
      </w:pPr>
      <w:r w:rsidRPr="00B2280E">
        <w:rPr>
          <w:rFonts w:ascii="Arial" w:hAnsi="Arial" w:cs="Arial"/>
          <w:sz w:val="20"/>
          <w:szCs w:val="20"/>
          <w:lang w:val="en"/>
        </w:rPr>
        <w:t xml:space="preserve">Syracuse DC, </w:t>
      </w:r>
      <w:proofErr w:type="spellStart"/>
      <w:r w:rsidRPr="00B2280E">
        <w:rPr>
          <w:rFonts w:ascii="Arial" w:hAnsi="Arial" w:cs="Arial"/>
          <w:sz w:val="20"/>
          <w:szCs w:val="20"/>
          <w:lang w:val="en"/>
        </w:rPr>
        <w:t>Perzin</w:t>
      </w:r>
      <w:proofErr w:type="spellEnd"/>
      <w:r w:rsidRPr="00B2280E">
        <w:rPr>
          <w:rFonts w:ascii="Arial" w:hAnsi="Arial" w:cs="Arial"/>
          <w:sz w:val="20"/>
          <w:szCs w:val="20"/>
          <w:lang w:val="en"/>
        </w:rPr>
        <w:t xml:space="preserve"> KH, Price JB, Wiedel PD, Mesa-Tejada R. Carcinoid tumors of the appendix: </w:t>
      </w:r>
      <w:proofErr w:type="spellStart"/>
      <w:r w:rsidRPr="00B2280E">
        <w:rPr>
          <w:rFonts w:ascii="Arial" w:hAnsi="Arial" w:cs="Arial"/>
          <w:sz w:val="20"/>
          <w:szCs w:val="20"/>
          <w:lang w:val="en"/>
        </w:rPr>
        <w:t>mesoappendiceal</w:t>
      </w:r>
      <w:proofErr w:type="spellEnd"/>
      <w:r w:rsidRPr="00B2280E">
        <w:rPr>
          <w:rFonts w:ascii="Arial" w:hAnsi="Arial" w:cs="Arial"/>
          <w:sz w:val="20"/>
          <w:szCs w:val="20"/>
          <w:lang w:val="en"/>
        </w:rPr>
        <w:t xml:space="preserve"> extension and nodal metastases. </w:t>
      </w:r>
      <w:r w:rsidRPr="00B2280E">
        <w:rPr>
          <w:rStyle w:val="Emphasis"/>
          <w:rFonts w:ascii="Arial" w:hAnsi="Arial" w:cs="Arial"/>
          <w:sz w:val="20"/>
          <w:szCs w:val="20"/>
          <w:lang w:val="en"/>
        </w:rPr>
        <w:t>Ann Surg</w:t>
      </w:r>
      <w:r w:rsidRPr="00B2280E">
        <w:rPr>
          <w:rFonts w:ascii="Arial" w:hAnsi="Arial" w:cs="Arial"/>
          <w:sz w:val="20"/>
          <w:szCs w:val="20"/>
          <w:lang w:val="en"/>
        </w:rPr>
        <w:t>. 1979;190(1):58-63.</w:t>
      </w:r>
      <w:bookmarkStart w:id="22" w:name="R60967"/>
      <w:bookmarkEnd w:id="21"/>
    </w:p>
    <w:p w14:paraId="0C07C7CE" w14:textId="77777777" w:rsidR="00B2280E" w:rsidRDefault="00BC3FE6" w:rsidP="005402BC">
      <w:pPr>
        <w:pStyle w:val="ListParagraph"/>
        <w:numPr>
          <w:ilvl w:val="0"/>
          <w:numId w:val="7"/>
        </w:num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lastRenderedPageBreak/>
        <w:t xml:space="preserve">Rossi G, Valli R, Bertolini F, et al. Does mesoappendix infiltration predict a worse prognosis in incidental neuroendocrine tumors of the </w:t>
      </w:r>
      <w:proofErr w:type="gramStart"/>
      <w:r w:rsidRPr="00B2280E">
        <w:rPr>
          <w:rFonts w:ascii="Arial" w:eastAsia="Times New Roman" w:hAnsi="Arial" w:cs="Arial"/>
          <w:sz w:val="20"/>
          <w:szCs w:val="20"/>
          <w:lang w:val="en"/>
        </w:rPr>
        <w:t>appendix?:</w:t>
      </w:r>
      <w:proofErr w:type="gramEnd"/>
      <w:r w:rsidRPr="00B2280E">
        <w:rPr>
          <w:rFonts w:ascii="Arial" w:eastAsia="Times New Roman" w:hAnsi="Arial" w:cs="Arial"/>
          <w:sz w:val="20"/>
          <w:szCs w:val="20"/>
          <w:lang w:val="en"/>
        </w:rPr>
        <w:t xml:space="preserve"> a clinicopathologic and immunohistochemical study of 15 cases. </w:t>
      </w:r>
      <w:r w:rsidRPr="00B2280E">
        <w:rPr>
          <w:rStyle w:val="Emphasis"/>
          <w:rFonts w:ascii="Arial" w:eastAsia="Times New Roman" w:hAnsi="Arial" w:cs="Arial"/>
          <w:sz w:val="20"/>
          <w:szCs w:val="20"/>
          <w:lang w:val="en"/>
        </w:rPr>
        <w:t xml:space="preserve">Am J Clin </w:t>
      </w:r>
      <w:proofErr w:type="spellStart"/>
      <w:r w:rsidRPr="00B2280E">
        <w:rPr>
          <w:rStyle w:val="Emphasis"/>
          <w:rFonts w:ascii="Arial" w:eastAsia="Times New Roman" w:hAnsi="Arial" w:cs="Arial"/>
          <w:sz w:val="20"/>
          <w:szCs w:val="20"/>
          <w:lang w:val="en"/>
        </w:rPr>
        <w:t>Pathol</w:t>
      </w:r>
      <w:proofErr w:type="spellEnd"/>
      <w:r w:rsidRPr="00B2280E">
        <w:rPr>
          <w:rStyle w:val="Emphasis"/>
          <w:rFonts w:ascii="Arial" w:eastAsia="Times New Roman" w:hAnsi="Arial" w:cs="Arial"/>
          <w:sz w:val="20"/>
          <w:szCs w:val="20"/>
          <w:lang w:val="en"/>
        </w:rPr>
        <w:t>.</w:t>
      </w:r>
      <w:r w:rsidRPr="00B2280E">
        <w:rPr>
          <w:rFonts w:ascii="Arial" w:eastAsia="Times New Roman" w:hAnsi="Arial" w:cs="Arial"/>
          <w:sz w:val="20"/>
          <w:szCs w:val="20"/>
          <w:lang w:val="en"/>
        </w:rPr>
        <w:t xml:space="preserve"> 2003;120(5):706-711.</w:t>
      </w:r>
      <w:bookmarkStart w:id="23" w:name="R60968"/>
      <w:bookmarkEnd w:id="22"/>
    </w:p>
    <w:p w14:paraId="4A7EF96D" w14:textId="4DD61BBC" w:rsidR="00B2280E" w:rsidRDefault="00BC3FE6" w:rsidP="005402BC">
      <w:pPr>
        <w:pStyle w:val="ListParagraph"/>
        <w:numPr>
          <w:ilvl w:val="0"/>
          <w:numId w:val="7"/>
        </w:num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 xml:space="preserve">Sheehan DC, </w:t>
      </w:r>
      <w:proofErr w:type="spellStart"/>
      <w:r w:rsidRPr="00B2280E">
        <w:rPr>
          <w:rFonts w:ascii="Arial" w:eastAsia="Times New Roman" w:hAnsi="Arial" w:cs="Arial"/>
          <w:sz w:val="20"/>
          <w:szCs w:val="20"/>
          <w:lang w:val="en"/>
        </w:rPr>
        <w:t>Hrapchak</w:t>
      </w:r>
      <w:proofErr w:type="spellEnd"/>
      <w:r w:rsidRPr="00B2280E">
        <w:rPr>
          <w:rFonts w:ascii="Arial" w:eastAsia="Times New Roman" w:hAnsi="Arial" w:cs="Arial"/>
          <w:sz w:val="20"/>
          <w:szCs w:val="20"/>
          <w:lang w:val="en"/>
        </w:rPr>
        <w:t xml:space="preserve"> BB. </w:t>
      </w:r>
      <w:r w:rsidRPr="00B2280E">
        <w:rPr>
          <w:rStyle w:val="Emphasis"/>
          <w:rFonts w:ascii="Arial" w:eastAsia="Times New Roman" w:hAnsi="Arial" w:cs="Arial"/>
          <w:sz w:val="20"/>
          <w:szCs w:val="20"/>
          <w:lang w:val="en"/>
        </w:rPr>
        <w:t>Theory and practice of histotechnology. 2nd ed.</w:t>
      </w:r>
      <w:r w:rsidRPr="00B2280E">
        <w:rPr>
          <w:rFonts w:ascii="Arial" w:eastAsia="Times New Roman" w:hAnsi="Arial" w:cs="Arial"/>
          <w:sz w:val="20"/>
          <w:szCs w:val="20"/>
          <w:lang w:val="en"/>
        </w:rPr>
        <w:t xml:space="preserve"> Battelle </w:t>
      </w:r>
      <w:r w:rsidR="00B2280E" w:rsidRPr="00B2280E">
        <w:rPr>
          <w:rFonts w:ascii="Arial" w:eastAsia="Times New Roman" w:hAnsi="Arial" w:cs="Arial"/>
          <w:sz w:val="20"/>
          <w:szCs w:val="20"/>
          <w:lang w:val="en"/>
        </w:rPr>
        <w:t>Press;</w:t>
      </w:r>
      <w:r w:rsidRPr="00B2280E">
        <w:rPr>
          <w:rFonts w:ascii="Arial" w:eastAsia="Times New Roman" w:hAnsi="Arial" w:cs="Arial"/>
          <w:sz w:val="20"/>
          <w:szCs w:val="20"/>
          <w:lang w:val="en"/>
        </w:rPr>
        <w:t xml:space="preserve"> Distributed by </w:t>
      </w:r>
      <w:proofErr w:type="spellStart"/>
      <w:r w:rsidRPr="00B2280E">
        <w:rPr>
          <w:rFonts w:ascii="Arial" w:eastAsia="Times New Roman" w:hAnsi="Arial" w:cs="Arial"/>
          <w:sz w:val="20"/>
          <w:szCs w:val="20"/>
          <w:lang w:val="en"/>
        </w:rPr>
        <w:t>Lipshaw</w:t>
      </w:r>
      <w:proofErr w:type="spellEnd"/>
      <w:r w:rsidRPr="00B2280E">
        <w:rPr>
          <w:rFonts w:ascii="Arial" w:eastAsia="Times New Roman" w:hAnsi="Arial" w:cs="Arial"/>
          <w:sz w:val="20"/>
          <w:szCs w:val="20"/>
          <w:lang w:val="en"/>
        </w:rPr>
        <w:t xml:space="preserve">; </w:t>
      </w:r>
      <w:proofErr w:type="gramStart"/>
      <w:r w:rsidRPr="00B2280E">
        <w:rPr>
          <w:rFonts w:ascii="Arial" w:eastAsia="Times New Roman" w:hAnsi="Arial" w:cs="Arial"/>
          <w:sz w:val="20"/>
          <w:szCs w:val="20"/>
          <w:lang w:val="en"/>
        </w:rPr>
        <w:t>1987:xiii</w:t>
      </w:r>
      <w:proofErr w:type="gramEnd"/>
      <w:r w:rsidRPr="00B2280E">
        <w:rPr>
          <w:rFonts w:ascii="Arial" w:eastAsia="Times New Roman" w:hAnsi="Arial" w:cs="Arial"/>
          <w:sz w:val="20"/>
          <w:szCs w:val="20"/>
          <w:lang w:val="en"/>
        </w:rPr>
        <w:t>, 481 p., 2 p. of plates.</w:t>
      </w:r>
      <w:bookmarkStart w:id="24" w:name="R60969"/>
      <w:bookmarkEnd w:id="23"/>
    </w:p>
    <w:p w14:paraId="38B8F2D4" w14:textId="77777777" w:rsidR="005402BC" w:rsidRDefault="00BC3FE6" w:rsidP="005402BC">
      <w:pPr>
        <w:pStyle w:val="ListParagraph"/>
        <w:numPr>
          <w:ilvl w:val="0"/>
          <w:numId w:val="7"/>
        </w:numPr>
        <w:spacing w:after="0" w:line="276" w:lineRule="auto"/>
        <w:jc w:val="both"/>
        <w:rPr>
          <w:rFonts w:ascii="Arial" w:eastAsia="Times New Roman" w:hAnsi="Arial" w:cs="Arial"/>
          <w:sz w:val="20"/>
          <w:szCs w:val="20"/>
          <w:lang w:val="en"/>
        </w:rPr>
      </w:pPr>
      <w:r w:rsidRPr="00B2280E">
        <w:rPr>
          <w:rFonts w:ascii="Arial" w:eastAsia="Times New Roman" w:hAnsi="Arial" w:cs="Arial"/>
          <w:sz w:val="20"/>
          <w:szCs w:val="20"/>
          <w:lang w:val="en"/>
        </w:rPr>
        <w:t>AJCC Version 9 Neuroendocrine Tumors of the Appendix Cancer Staging System. Copyright 2023 American College of Surgeons.</w:t>
      </w:r>
      <w:bookmarkStart w:id="25" w:name="N9013"/>
      <w:bookmarkEnd w:id="24"/>
    </w:p>
    <w:p w14:paraId="000CA83A" w14:textId="77777777" w:rsidR="005402BC" w:rsidRDefault="005402BC" w:rsidP="005402BC">
      <w:pPr>
        <w:spacing w:after="0" w:line="276" w:lineRule="auto"/>
        <w:jc w:val="both"/>
        <w:rPr>
          <w:rFonts w:ascii="Arial" w:eastAsia="Times New Roman" w:hAnsi="Arial" w:cs="Arial"/>
          <w:b/>
          <w:bCs/>
          <w:sz w:val="20"/>
          <w:szCs w:val="20"/>
          <w:lang w:val="en"/>
        </w:rPr>
      </w:pPr>
    </w:p>
    <w:p w14:paraId="359001DB" w14:textId="77777777" w:rsidR="005402BC" w:rsidRDefault="00BC3FE6" w:rsidP="005402BC">
      <w:pPr>
        <w:spacing w:after="0" w:line="276" w:lineRule="auto"/>
        <w:jc w:val="both"/>
        <w:rPr>
          <w:rFonts w:ascii="Arial" w:eastAsia="Times New Roman" w:hAnsi="Arial" w:cs="Arial"/>
          <w:b/>
          <w:bCs/>
          <w:sz w:val="20"/>
          <w:szCs w:val="20"/>
          <w:lang w:val="en"/>
        </w:rPr>
      </w:pPr>
      <w:r w:rsidRPr="005402BC">
        <w:rPr>
          <w:rFonts w:ascii="Arial" w:eastAsia="Times New Roman" w:hAnsi="Arial" w:cs="Arial"/>
          <w:b/>
          <w:bCs/>
          <w:sz w:val="20"/>
          <w:szCs w:val="20"/>
          <w:lang w:val="en"/>
        </w:rPr>
        <w:t>E. Margins</w:t>
      </w:r>
      <w:bookmarkEnd w:id="25"/>
    </w:p>
    <w:p w14:paraId="4C33688D" w14:textId="77777777" w:rsidR="005402BC" w:rsidRDefault="00BC3FE6" w:rsidP="005402BC">
      <w:pPr>
        <w:spacing w:after="0" w:line="276" w:lineRule="auto"/>
        <w:jc w:val="both"/>
        <w:rPr>
          <w:rFonts w:ascii="Arial" w:eastAsia="Times New Roman" w:hAnsi="Arial" w:cs="Arial"/>
          <w:sz w:val="20"/>
          <w:szCs w:val="20"/>
          <w:lang w:val="en"/>
        </w:rPr>
      </w:pPr>
      <w:r w:rsidRPr="00B2280E">
        <w:rPr>
          <w:rFonts w:ascii="Arial" w:hAnsi="Arial" w:cs="Arial"/>
          <w:kern w:val="20"/>
          <w:sz w:val="20"/>
          <w:szCs w:val="20"/>
          <w:lang w:val="en"/>
        </w:rPr>
        <w:t xml:space="preserve">Margins in a simple appendectomy specimen include the proximal and circumferential (radial) margin. It is recommended that the proximal margin on a simple appendectomy specimen should be taken </w:t>
      </w:r>
      <w:proofErr w:type="spellStart"/>
      <w:r w:rsidRPr="00B2280E">
        <w:rPr>
          <w:rFonts w:ascii="Arial" w:hAnsi="Arial" w:cs="Arial"/>
          <w:kern w:val="20"/>
          <w:sz w:val="20"/>
          <w:szCs w:val="20"/>
          <w:lang w:val="en"/>
        </w:rPr>
        <w:t>en</w:t>
      </w:r>
      <w:proofErr w:type="spellEnd"/>
      <w:r w:rsidRPr="00B2280E">
        <w:rPr>
          <w:rFonts w:ascii="Arial" w:hAnsi="Arial" w:cs="Arial"/>
          <w:kern w:val="20"/>
          <w:sz w:val="20"/>
          <w:szCs w:val="20"/>
          <w:lang w:val="en"/>
        </w:rPr>
        <w:t xml:space="preserve"> face </w:t>
      </w:r>
      <w:proofErr w:type="gramStart"/>
      <w:r w:rsidRPr="00B2280E">
        <w:rPr>
          <w:rFonts w:ascii="Arial" w:hAnsi="Arial" w:cs="Arial"/>
          <w:kern w:val="20"/>
          <w:sz w:val="20"/>
          <w:szCs w:val="20"/>
          <w:lang w:val="en"/>
        </w:rPr>
        <w:t>in order to</w:t>
      </w:r>
      <w:proofErr w:type="gramEnd"/>
      <w:r w:rsidRPr="00B2280E">
        <w:rPr>
          <w:rFonts w:ascii="Arial" w:hAnsi="Arial" w:cs="Arial"/>
          <w:kern w:val="20"/>
          <w:sz w:val="20"/>
          <w:szCs w:val="20"/>
          <w:lang w:val="en"/>
        </w:rPr>
        <w:t xml:space="preserve"> evaluate the entire appendiceal mucosa and muscularis circumferentially. In </w:t>
      </w:r>
      <w:proofErr w:type="gramStart"/>
      <w:r w:rsidRPr="00B2280E">
        <w:rPr>
          <w:rFonts w:ascii="Arial" w:hAnsi="Arial" w:cs="Arial"/>
          <w:kern w:val="20"/>
          <w:sz w:val="20"/>
          <w:szCs w:val="20"/>
          <w:lang w:val="en"/>
        </w:rPr>
        <w:t>the vast majority of</w:t>
      </w:r>
      <w:proofErr w:type="gramEnd"/>
      <w:r w:rsidRPr="00B2280E">
        <w:rPr>
          <w:rFonts w:ascii="Arial" w:hAnsi="Arial" w:cs="Arial"/>
          <w:kern w:val="20"/>
          <w:sz w:val="20"/>
          <w:szCs w:val="20"/>
          <w:lang w:val="en"/>
        </w:rPr>
        <w:t xml:space="preserve"> cases, the appendix is entirely </w:t>
      </w:r>
      <w:proofErr w:type="spellStart"/>
      <w:r w:rsidRPr="00B2280E">
        <w:rPr>
          <w:rFonts w:ascii="Arial" w:hAnsi="Arial" w:cs="Arial"/>
          <w:kern w:val="20"/>
          <w:sz w:val="20"/>
          <w:szCs w:val="20"/>
          <w:lang w:val="en"/>
        </w:rPr>
        <w:t>peritonealized</w:t>
      </w:r>
      <w:proofErr w:type="spellEnd"/>
      <w:r w:rsidRPr="00B2280E">
        <w:rPr>
          <w:rFonts w:ascii="Arial" w:hAnsi="Arial" w:cs="Arial"/>
          <w:kern w:val="20"/>
          <w:sz w:val="20"/>
          <w:szCs w:val="20"/>
          <w:lang w:val="en"/>
        </w:rPr>
        <w:t xml:space="preserve"> (Figure, A), and the closest distance between the tumor and the </w:t>
      </w:r>
      <w:proofErr w:type="spellStart"/>
      <w:r w:rsidRPr="00B2280E">
        <w:rPr>
          <w:rFonts w:ascii="Arial" w:hAnsi="Arial" w:cs="Arial"/>
          <w:kern w:val="20"/>
          <w:sz w:val="20"/>
          <w:szCs w:val="20"/>
          <w:lang w:val="en"/>
        </w:rPr>
        <w:t>mesoappendiceal</w:t>
      </w:r>
      <w:proofErr w:type="spellEnd"/>
      <w:r w:rsidRPr="00B2280E">
        <w:rPr>
          <w:rFonts w:ascii="Arial" w:hAnsi="Arial" w:cs="Arial"/>
          <w:kern w:val="20"/>
          <w:sz w:val="20"/>
          <w:szCs w:val="20"/>
          <w:lang w:val="en"/>
        </w:rPr>
        <w:t xml:space="preserve"> resection margin represents the radial margin and should be measured. Even retrocecal appendices are usually invested by peritoneum but have adhered to the posterior cecum, either because of inflammation or tumor. Exceptionally, a retrocecal appendix may be retroperitoneal, in which case the distance between the tumor and the </w:t>
      </w:r>
      <w:proofErr w:type="spellStart"/>
      <w:r w:rsidRPr="00B2280E">
        <w:rPr>
          <w:rFonts w:ascii="Arial" w:hAnsi="Arial" w:cs="Arial"/>
          <w:kern w:val="20"/>
          <w:sz w:val="20"/>
          <w:szCs w:val="20"/>
          <w:lang w:val="en"/>
        </w:rPr>
        <w:t>nonperitonealized</w:t>
      </w:r>
      <w:proofErr w:type="spellEnd"/>
      <w:r w:rsidRPr="00B2280E">
        <w:rPr>
          <w:rFonts w:ascii="Arial" w:hAnsi="Arial" w:cs="Arial"/>
          <w:kern w:val="20"/>
          <w:sz w:val="20"/>
          <w:szCs w:val="20"/>
          <w:lang w:val="en"/>
        </w:rPr>
        <w:t xml:space="preserve"> radial resection margin is the “surgical clearance” and should be measured.</w:t>
      </w:r>
    </w:p>
    <w:p w14:paraId="63691BFD" w14:textId="77777777" w:rsidR="005402BC" w:rsidRDefault="005402BC" w:rsidP="005402BC">
      <w:pPr>
        <w:spacing w:after="0" w:line="276" w:lineRule="auto"/>
        <w:jc w:val="both"/>
        <w:rPr>
          <w:rFonts w:ascii="Arial" w:eastAsia="Times New Roman" w:hAnsi="Arial" w:cs="Arial"/>
          <w:sz w:val="20"/>
          <w:szCs w:val="20"/>
          <w:lang w:val="en"/>
        </w:rPr>
      </w:pPr>
    </w:p>
    <w:p w14:paraId="7B2BB66A" w14:textId="77777777" w:rsidR="005402BC" w:rsidRDefault="00BC3FE6" w:rsidP="005402BC">
      <w:pPr>
        <w:spacing w:after="0" w:line="276" w:lineRule="auto"/>
        <w:jc w:val="both"/>
        <w:rPr>
          <w:rFonts w:ascii="Arial" w:eastAsia="Times New Roman" w:hAnsi="Arial" w:cs="Arial"/>
          <w:sz w:val="20"/>
          <w:szCs w:val="20"/>
          <w:lang w:val="en"/>
        </w:rPr>
      </w:pPr>
      <w:r w:rsidRPr="00B2280E">
        <w:rPr>
          <w:rFonts w:ascii="Arial" w:hAnsi="Arial" w:cs="Arial"/>
          <w:kern w:val="20"/>
          <w:sz w:val="20"/>
          <w:szCs w:val="20"/>
          <w:lang w:val="en"/>
        </w:rPr>
        <w:t xml:space="preserve">In general, the circumferential (radial) margin must be assessed for any segment of gastrointestinal tract either incompletely encased or </w:t>
      </w:r>
      <w:proofErr w:type="spellStart"/>
      <w:r w:rsidRPr="00B2280E">
        <w:rPr>
          <w:rFonts w:ascii="Arial" w:hAnsi="Arial" w:cs="Arial"/>
          <w:kern w:val="20"/>
          <w:sz w:val="20"/>
          <w:szCs w:val="20"/>
          <w:lang w:val="en"/>
        </w:rPr>
        <w:t>unencased</w:t>
      </w:r>
      <w:proofErr w:type="spellEnd"/>
      <w:r w:rsidRPr="00B2280E">
        <w:rPr>
          <w:rFonts w:ascii="Arial" w:hAnsi="Arial" w:cs="Arial"/>
          <w:kern w:val="20"/>
          <w:sz w:val="20"/>
          <w:szCs w:val="20"/>
          <w:lang w:val="en"/>
        </w:rPr>
        <w:t xml:space="preserve"> by peritoneum (Figure, B and C). The posterior surface of the ascending colon portion of a right hemicolectomy specimen lacks a peritoneal covering and thus constitutes a circumferential margin, which in rare cases may be relevant in right hemicolectomy specimens resected for treatment of appendiceal neuroendocrine tumors. The circumferential (radial) margin represents the adventitial soft tissue margin closest to the deepest penetration of tumor and is created surgically by blunt or sharp dissection of the retroperitoneal or </w:t>
      </w:r>
      <w:proofErr w:type="spellStart"/>
      <w:r w:rsidRPr="00B2280E">
        <w:rPr>
          <w:rFonts w:ascii="Arial" w:hAnsi="Arial" w:cs="Arial"/>
          <w:kern w:val="20"/>
          <w:sz w:val="20"/>
          <w:szCs w:val="20"/>
          <w:lang w:val="en"/>
        </w:rPr>
        <w:t>subperitoneal</w:t>
      </w:r>
      <w:proofErr w:type="spellEnd"/>
      <w:r w:rsidRPr="00B2280E">
        <w:rPr>
          <w:rFonts w:ascii="Arial" w:hAnsi="Arial" w:cs="Arial"/>
          <w:kern w:val="20"/>
          <w:sz w:val="20"/>
          <w:szCs w:val="20"/>
          <w:lang w:val="en"/>
        </w:rPr>
        <w:t xml:space="preserve"> aspect, respectively. The distance between the tumor and circumferential (radial) margin should be reported, if applicable.  The circumferential (radial) margin is considered positive if the tumor is present at the inked </w:t>
      </w:r>
      <w:proofErr w:type="spellStart"/>
      <w:r w:rsidRPr="00B2280E">
        <w:rPr>
          <w:rFonts w:ascii="Arial" w:hAnsi="Arial" w:cs="Arial"/>
          <w:kern w:val="20"/>
          <w:sz w:val="20"/>
          <w:szCs w:val="20"/>
          <w:lang w:val="en"/>
        </w:rPr>
        <w:t>nonperitonealized</w:t>
      </w:r>
      <w:proofErr w:type="spellEnd"/>
      <w:r w:rsidRPr="00B2280E">
        <w:rPr>
          <w:rFonts w:ascii="Arial" w:hAnsi="Arial" w:cs="Arial"/>
          <w:kern w:val="20"/>
          <w:sz w:val="20"/>
          <w:szCs w:val="20"/>
          <w:lang w:val="en"/>
        </w:rPr>
        <w:t xml:space="preserve"> surface. This assessment includes tumor within a lymph node as well as direct tumor extension, but if circumferential (radial) margin positivity is based solely on intranodal tumor, this should be so stated. </w:t>
      </w:r>
    </w:p>
    <w:p w14:paraId="01F9426B" w14:textId="77777777" w:rsidR="005402BC" w:rsidRDefault="005402BC" w:rsidP="005402BC">
      <w:pPr>
        <w:spacing w:after="0" w:line="276" w:lineRule="auto"/>
        <w:jc w:val="both"/>
        <w:rPr>
          <w:rFonts w:ascii="Arial" w:eastAsia="Times New Roman" w:hAnsi="Arial" w:cs="Arial"/>
          <w:sz w:val="20"/>
          <w:szCs w:val="20"/>
          <w:lang w:val="en"/>
        </w:rPr>
      </w:pPr>
    </w:p>
    <w:p w14:paraId="3B44E430" w14:textId="5701FAA4" w:rsidR="00BC3FE6"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 xml:space="preserve">The mesenteric resection margin is the only relevant circumferential margin in segments completely encased by peritoneum (e.g., cecum; </w:t>
      </w:r>
      <w:proofErr w:type="spellStart"/>
      <w:r w:rsidRPr="00B2280E">
        <w:rPr>
          <w:rFonts w:ascii="Arial" w:hAnsi="Arial" w:cs="Arial"/>
          <w:sz w:val="20"/>
          <w:szCs w:val="20"/>
          <w:lang w:val="en"/>
        </w:rPr>
        <w:t>mesoappendiceal</w:t>
      </w:r>
      <w:proofErr w:type="spellEnd"/>
      <w:r w:rsidRPr="00B2280E">
        <w:rPr>
          <w:rFonts w:ascii="Arial" w:hAnsi="Arial" w:cs="Arial"/>
          <w:sz w:val="20"/>
          <w:szCs w:val="20"/>
          <w:lang w:val="en"/>
        </w:rPr>
        <w:t xml:space="preserve"> resection margin for the appendix) (Figure, A). Involvement of this margin should be reported even if tumor does not penetrate the serosal surface.</w:t>
      </w:r>
    </w:p>
    <w:p w14:paraId="092EE285" w14:textId="77777777" w:rsidR="005402BC" w:rsidRPr="005402BC" w:rsidRDefault="005402BC" w:rsidP="005402BC">
      <w:pPr>
        <w:spacing w:after="0" w:line="276" w:lineRule="auto"/>
        <w:jc w:val="both"/>
        <w:rPr>
          <w:rFonts w:ascii="Arial" w:eastAsia="Times New Roman" w:hAnsi="Arial" w:cs="Arial"/>
          <w:sz w:val="20"/>
          <w:szCs w:val="20"/>
          <w:lang w:val="en"/>
        </w:rPr>
      </w:pPr>
    </w:p>
    <w:p w14:paraId="0FD3AFC2"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noProof/>
          <w:sz w:val="20"/>
          <w:szCs w:val="20"/>
          <w:lang w:val="en"/>
        </w:rPr>
        <w:drawing>
          <wp:inline distT="0" distB="0" distL="0" distR="0" wp14:anchorId="10E8C586" wp14:editId="4CEE5063">
            <wp:extent cx="3714750" cy="1647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0" cy="1647825"/>
                    </a:xfrm>
                    <a:prstGeom prst="rect">
                      <a:avLst/>
                    </a:prstGeom>
                    <a:noFill/>
                    <a:ln>
                      <a:noFill/>
                    </a:ln>
                  </pic:spPr>
                </pic:pic>
              </a:graphicData>
            </a:graphic>
          </wp:inline>
        </w:drawing>
      </w:r>
    </w:p>
    <w:p w14:paraId="5E1622E0" w14:textId="12A30A54" w:rsidR="005402BC" w:rsidRDefault="00C50170" w:rsidP="005402BC">
      <w:pPr>
        <w:spacing w:after="0" w:line="276" w:lineRule="auto"/>
        <w:jc w:val="both"/>
        <w:rPr>
          <w:rFonts w:ascii="Arial" w:hAnsi="Arial" w:cs="Arial"/>
          <w:sz w:val="20"/>
          <w:szCs w:val="20"/>
          <w:lang w:val="en"/>
        </w:rPr>
      </w:pPr>
      <w:r w:rsidRPr="00C50170">
        <w:rPr>
          <w:rFonts w:ascii="Arial" w:hAnsi="Arial" w:cs="Arial"/>
          <w:b/>
          <w:bCs/>
          <w:sz w:val="20"/>
          <w:szCs w:val="20"/>
          <w:lang w:val="en"/>
        </w:rPr>
        <w:lastRenderedPageBreak/>
        <w:t>A:</w:t>
      </w:r>
      <w:r w:rsidR="00BC3FE6" w:rsidRPr="00B2280E">
        <w:rPr>
          <w:rFonts w:ascii="Arial" w:hAnsi="Arial" w:cs="Arial"/>
          <w:sz w:val="20"/>
          <w:szCs w:val="20"/>
          <w:lang w:val="en"/>
        </w:rPr>
        <w:t xml:space="preserve"> Mesenteric margin in viscus completely encased by peritoneum (dotted line).  </w:t>
      </w:r>
      <w:r w:rsidR="00BC3FE6" w:rsidRPr="00C50170">
        <w:rPr>
          <w:rFonts w:ascii="Arial" w:hAnsi="Arial" w:cs="Arial"/>
          <w:b/>
          <w:bCs/>
          <w:sz w:val="20"/>
          <w:szCs w:val="20"/>
          <w:lang w:val="en"/>
        </w:rPr>
        <w:t>B</w:t>
      </w:r>
      <w:r w:rsidRPr="00C50170">
        <w:rPr>
          <w:rFonts w:ascii="Arial" w:hAnsi="Arial" w:cs="Arial"/>
          <w:b/>
          <w:bCs/>
          <w:sz w:val="20"/>
          <w:szCs w:val="20"/>
          <w:lang w:val="en"/>
        </w:rPr>
        <w:t>:</w:t>
      </w:r>
      <w:r w:rsidR="00BC3FE6" w:rsidRPr="00B2280E">
        <w:rPr>
          <w:rFonts w:ascii="Arial" w:hAnsi="Arial" w:cs="Arial"/>
          <w:sz w:val="20"/>
          <w:szCs w:val="20"/>
          <w:lang w:val="en"/>
        </w:rPr>
        <w:t xml:space="preserve"> Circumferential (radial) margin (dotted line) in viscus incompletely encased by peritoneum. </w:t>
      </w:r>
      <w:r w:rsidR="00BC3FE6" w:rsidRPr="00C50170">
        <w:rPr>
          <w:rFonts w:ascii="Arial" w:hAnsi="Arial" w:cs="Arial"/>
          <w:b/>
          <w:bCs/>
          <w:sz w:val="20"/>
          <w:szCs w:val="20"/>
          <w:lang w:val="en"/>
        </w:rPr>
        <w:t>C</w:t>
      </w:r>
      <w:r w:rsidRPr="00C50170">
        <w:rPr>
          <w:rFonts w:ascii="Arial" w:hAnsi="Arial" w:cs="Arial"/>
          <w:b/>
          <w:bCs/>
          <w:sz w:val="20"/>
          <w:szCs w:val="20"/>
          <w:lang w:val="en"/>
        </w:rPr>
        <w:t>:</w:t>
      </w:r>
      <w:r w:rsidR="00BC3FE6" w:rsidRPr="00B2280E">
        <w:rPr>
          <w:rFonts w:ascii="Arial" w:hAnsi="Arial" w:cs="Arial"/>
          <w:sz w:val="20"/>
          <w:szCs w:val="20"/>
          <w:lang w:val="en"/>
        </w:rPr>
        <w:t xml:space="preserve"> Circumferential (radial) margin (dotted line) in viscus completely </w:t>
      </w:r>
      <w:proofErr w:type="spellStart"/>
      <w:r w:rsidR="00BC3FE6" w:rsidRPr="00B2280E">
        <w:rPr>
          <w:rFonts w:ascii="Arial" w:hAnsi="Arial" w:cs="Arial"/>
          <w:sz w:val="20"/>
          <w:szCs w:val="20"/>
          <w:lang w:val="en"/>
        </w:rPr>
        <w:t>unencased</w:t>
      </w:r>
      <w:proofErr w:type="spellEnd"/>
      <w:r w:rsidR="00BC3FE6" w:rsidRPr="00B2280E">
        <w:rPr>
          <w:rFonts w:ascii="Arial" w:hAnsi="Arial" w:cs="Arial"/>
          <w:sz w:val="20"/>
          <w:szCs w:val="20"/>
          <w:lang w:val="en"/>
        </w:rPr>
        <w:t xml:space="preserve"> by peritoneum.</w:t>
      </w:r>
      <w:bookmarkStart w:id="26" w:name="N9014"/>
    </w:p>
    <w:p w14:paraId="77DDAC25" w14:textId="77777777" w:rsidR="005402BC" w:rsidRDefault="005402BC" w:rsidP="005402BC">
      <w:pPr>
        <w:spacing w:after="0" w:line="276" w:lineRule="auto"/>
        <w:jc w:val="both"/>
        <w:rPr>
          <w:rFonts w:ascii="Arial" w:hAnsi="Arial" w:cs="Arial"/>
          <w:sz w:val="20"/>
          <w:szCs w:val="20"/>
          <w:lang w:val="en"/>
        </w:rPr>
      </w:pPr>
    </w:p>
    <w:p w14:paraId="234AE149" w14:textId="77777777" w:rsidR="005402BC" w:rsidRDefault="00BC3FE6" w:rsidP="005402BC">
      <w:pPr>
        <w:spacing w:after="0" w:line="276" w:lineRule="auto"/>
        <w:jc w:val="both"/>
        <w:rPr>
          <w:rFonts w:ascii="Arial" w:hAnsi="Arial" w:cs="Arial"/>
          <w:sz w:val="20"/>
          <w:szCs w:val="20"/>
          <w:lang w:val="en"/>
        </w:rPr>
      </w:pPr>
      <w:r w:rsidRPr="00B2280E">
        <w:rPr>
          <w:rFonts w:ascii="Arial" w:eastAsia="Times New Roman" w:hAnsi="Arial" w:cs="Arial"/>
          <w:b/>
          <w:bCs/>
          <w:sz w:val="20"/>
          <w:szCs w:val="20"/>
          <w:lang w:val="en"/>
        </w:rPr>
        <w:t xml:space="preserve">F. </w:t>
      </w:r>
      <w:proofErr w:type="spellStart"/>
      <w:r w:rsidRPr="00B2280E">
        <w:rPr>
          <w:rFonts w:ascii="Arial" w:eastAsia="Times New Roman" w:hAnsi="Arial" w:cs="Arial"/>
          <w:b/>
          <w:bCs/>
          <w:sz w:val="20"/>
          <w:szCs w:val="20"/>
          <w:lang w:val="en"/>
        </w:rPr>
        <w:t>pTNM</w:t>
      </w:r>
      <w:proofErr w:type="spellEnd"/>
      <w:r w:rsidRPr="00B2280E">
        <w:rPr>
          <w:rFonts w:ascii="Arial" w:eastAsia="Times New Roman" w:hAnsi="Arial" w:cs="Arial"/>
          <w:b/>
          <w:bCs/>
          <w:sz w:val="20"/>
          <w:szCs w:val="20"/>
          <w:lang w:val="en"/>
        </w:rPr>
        <w:t xml:space="preserve"> Classification</w:t>
      </w:r>
      <w:bookmarkEnd w:id="26"/>
    </w:p>
    <w:p w14:paraId="0E6D6A12"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The TNM staging system for appendiceal NETs of the American Joint Committee on Cancer (AJCC) and the International Union Against Cancer (UICC) is recommended.</w:t>
      </w:r>
      <w:hyperlink w:anchor="R38712" w:tooltip="AJCC Version 9 Neuroendocrine Tumors of the Appendix Cancer Staging System. Copyright 2023 American College of Surgeons." w:history="1">
        <w:r w:rsidRPr="00B2280E">
          <w:rPr>
            <w:rStyle w:val="Hyperlink"/>
            <w:rFonts w:ascii="Arial" w:hAnsi="Arial" w:cs="Arial"/>
            <w:sz w:val="20"/>
            <w:szCs w:val="20"/>
            <w:vertAlign w:val="superscript"/>
            <w:lang w:val="en"/>
          </w:rPr>
          <w:t>1</w:t>
        </w:r>
      </w:hyperlink>
    </w:p>
    <w:p w14:paraId="6A1351B3" w14:textId="77777777" w:rsidR="005402BC" w:rsidRDefault="005402BC" w:rsidP="005402BC">
      <w:pPr>
        <w:spacing w:after="0" w:line="276" w:lineRule="auto"/>
        <w:jc w:val="both"/>
        <w:rPr>
          <w:rFonts w:ascii="Arial" w:hAnsi="Arial" w:cs="Arial"/>
          <w:sz w:val="20"/>
          <w:szCs w:val="20"/>
          <w:lang w:val="en"/>
        </w:rPr>
      </w:pPr>
    </w:p>
    <w:p w14:paraId="167E9707" w14:textId="77777777" w:rsidR="005402BC" w:rsidRDefault="00BC3FE6" w:rsidP="005402BC">
      <w:pPr>
        <w:spacing w:after="0" w:line="276" w:lineRule="auto"/>
        <w:jc w:val="both"/>
        <w:rPr>
          <w:rFonts w:ascii="Arial" w:hAnsi="Arial" w:cs="Arial"/>
          <w:sz w:val="20"/>
          <w:szCs w:val="20"/>
          <w:lang w:val="en"/>
        </w:rPr>
      </w:pPr>
      <w:proofErr w:type="spellStart"/>
      <w:r w:rsidRPr="00B2280E">
        <w:rPr>
          <w:rFonts w:ascii="Arial" w:hAnsi="Arial" w:cs="Arial"/>
          <w:sz w:val="20"/>
          <w:szCs w:val="20"/>
          <w:u w:val="single"/>
          <w:lang w:val="en"/>
        </w:rPr>
        <w:t>pTNM</w:t>
      </w:r>
      <w:proofErr w:type="spellEnd"/>
      <w:r w:rsidRPr="00B2280E">
        <w:rPr>
          <w:rFonts w:ascii="Arial" w:hAnsi="Arial" w:cs="Arial"/>
          <w:sz w:val="20"/>
          <w:szCs w:val="20"/>
          <w:u w:val="single"/>
          <w:lang w:val="en"/>
        </w:rPr>
        <w:t xml:space="preserve"> Pathologic Classification</w:t>
      </w:r>
    </w:p>
    <w:p w14:paraId="2F0BDC53"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 xml:space="preserve">The </w:t>
      </w:r>
      <w:proofErr w:type="spellStart"/>
      <w:r w:rsidRPr="00B2280E">
        <w:rPr>
          <w:rFonts w:ascii="Arial" w:hAnsi="Arial" w:cs="Arial"/>
          <w:sz w:val="20"/>
          <w:szCs w:val="20"/>
          <w:lang w:val="en"/>
        </w:rPr>
        <w:t>pT</w:t>
      </w:r>
      <w:proofErr w:type="spellEnd"/>
      <w:r w:rsidRPr="00B2280E">
        <w:rPr>
          <w:rFonts w:ascii="Arial" w:hAnsi="Arial" w:cs="Arial"/>
          <w:sz w:val="20"/>
          <w:szCs w:val="20"/>
          <w:lang w:val="en"/>
        </w:rPr>
        <w:t xml:space="preserve">, </w:t>
      </w:r>
      <w:proofErr w:type="spellStart"/>
      <w:r w:rsidRPr="00B2280E">
        <w:rPr>
          <w:rFonts w:ascii="Arial" w:hAnsi="Arial" w:cs="Arial"/>
          <w:sz w:val="20"/>
          <w:szCs w:val="20"/>
          <w:lang w:val="en"/>
        </w:rPr>
        <w:t>pN</w:t>
      </w:r>
      <w:proofErr w:type="spellEnd"/>
      <w:r w:rsidRPr="00B2280E">
        <w:rPr>
          <w:rFonts w:ascii="Arial" w:hAnsi="Arial" w:cs="Arial"/>
          <w:sz w:val="20"/>
          <w:szCs w:val="20"/>
          <w:lang w:val="en"/>
        </w:rPr>
        <w:t xml:space="preserve">, and </w:t>
      </w:r>
      <w:proofErr w:type="spellStart"/>
      <w:r w:rsidRPr="00B2280E">
        <w:rPr>
          <w:rFonts w:ascii="Arial" w:hAnsi="Arial" w:cs="Arial"/>
          <w:sz w:val="20"/>
          <w:szCs w:val="20"/>
          <w:lang w:val="en"/>
        </w:rPr>
        <w:t>pM</w:t>
      </w:r>
      <w:proofErr w:type="spellEnd"/>
      <w:r w:rsidRPr="00B2280E">
        <w:rPr>
          <w:rFonts w:ascii="Arial" w:hAnsi="Arial" w:cs="Arial"/>
          <w:sz w:val="20"/>
          <w:szCs w:val="20"/>
          <w:lang w:val="en"/>
        </w:rPr>
        <w:t xml:space="preserve"> categories correspond to the T, N, and M categories except that pM0 (no distant metastasis) does not exist as a category.</w:t>
      </w:r>
    </w:p>
    <w:p w14:paraId="06340E25" w14:textId="77777777" w:rsidR="005402BC" w:rsidRDefault="005402BC" w:rsidP="005402BC">
      <w:pPr>
        <w:spacing w:after="0" w:line="276" w:lineRule="auto"/>
        <w:jc w:val="both"/>
        <w:rPr>
          <w:rFonts w:ascii="Arial" w:hAnsi="Arial" w:cs="Arial"/>
          <w:sz w:val="20"/>
          <w:szCs w:val="20"/>
          <w:lang w:val="en"/>
        </w:rPr>
      </w:pPr>
    </w:p>
    <w:p w14:paraId="213097D3"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 xml:space="preserve">By AJCC/UICC convention, the designation “T” refers to a primary tumor that has not been previously treated. The symbol “p” refers to the pathologic classification of the TNM, as opposed to the clinical classification, and is based on gross and microscopic examination. </w:t>
      </w:r>
      <w:proofErr w:type="spellStart"/>
      <w:r w:rsidRPr="00B2280E">
        <w:rPr>
          <w:rFonts w:ascii="Arial" w:hAnsi="Arial" w:cs="Arial"/>
          <w:sz w:val="20"/>
          <w:szCs w:val="20"/>
          <w:lang w:val="en"/>
        </w:rPr>
        <w:t>pT</w:t>
      </w:r>
      <w:proofErr w:type="spellEnd"/>
      <w:r w:rsidRPr="00B2280E">
        <w:rPr>
          <w:rFonts w:ascii="Arial" w:hAnsi="Arial" w:cs="Arial"/>
          <w:sz w:val="20"/>
          <w:szCs w:val="20"/>
          <w:lang w:val="en"/>
        </w:rPr>
        <w:t xml:space="preserve"> entails a resection of the primary tumor or biopsy adequate to evaluate the highest </w:t>
      </w:r>
      <w:proofErr w:type="spellStart"/>
      <w:r w:rsidRPr="00B2280E">
        <w:rPr>
          <w:rFonts w:ascii="Arial" w:hAnsi="Arial" w:cs="Arial"/>
          <w:sz w:val="20"/>
          <w:szCs w:val="20"/>
          <w:lang w:val="en"/>
        </w:rPr>
        <w:t>pT</w:t>
      </w:r>
      <w:proofErr w:type="spellEnd"/>
      <w:r w:rsidRPr="00B2280E">
        <w:rPr>
          <w:rFonts w:ascii="Arial" w:hAnsi="Arial" w:cs="Arial"/>
          <w:sz w:val="20"/>
          <w:szCs w:val="20"/>
          <w:lang w:val="en"/>
        </w:rPr>
        <w:t xml:space="preserve"> category, </w:t>
      </w:r>
      <w:proofErr w:type="spellStart"/>
      <w:r w:rsidRPr="00B2280E">
        <w:rPr>
          <w:rFonts w:ascii="Arial" w:hAnsi="Arial" w:cs="Arial"/>
          <w:sz w:val="20"/>
          <w:szCs w:val="20"/>
          <w:lang w:val="en"/>
        </w:rPr>
        <w:t>pN</w:t>
      </w:r>
      <w:proofErr w:type="spellEnd"/>
      <w:r w:rsidRPr="00B2280E">
        <w:rPr>
          <w:rFonts w:ascii="Arial" w:hAnsi="Arial" w:cs="Arial"/>
          <w:sz w:val="20"/>
          <w:szCs w:val="20"/>
          <w:lang w:val="en"/>
        </w:rPr>
        <w:t xml:space="preserve"> entails removal of nodes adequate to validate lymph node metastasis, and </w:t>
      </w:r>
      <w:proofErr w:type="spellStart"/>
      <w:r w:rsidRPr="00B2280E">
        <w:rPr>
          <w:rFonts w:ascii="Arial" w:hAnsi="Arial" w:cs="Arial"/>
          <w:sz w:val="20"/>
          <w:szCs w:val="20"/>
          <w:lang w:val="en"/>
        </w:rPr>
        <w:t>pM</w:t>
      </w:r>
      <w:proofErr w:type="spellEnd"/>
      <w:r w:rsidRPr="00B2280E">
        <w:rPr>
          <w:rFonts w:ascii="Arial" w:hAnsi="Arial" w:cs="Arial"/>
          <w:sz w:val="20"/>
          <w:szCs w:val="20"/>
          <w:lang w:val="en"/>
        </w:rPr>
        <w:t xml:space="preserve"> implies microscopic examination of distant lesions. Clinical classification (</w:t>
      </w:r>
      <w:proofErr w:type="spellStart"/>
      <w:r w:rsidRPr="00B2280E">
        <w:rPr>
          <w:rFonts w:ascii="Arial" w:hAnsi="Arial" w:cs="Arial"/>
          <w:sz w:val="20"/>
          <w:szCs w:val="20"/>
          <w:lang w:val="en"/>
        </w:rPr>
        <w:t>cTNM</w:t>
      </w:r>
      <w:proofErr w:type="spellEnd"/>
      <w:r w:rsidRPr="00B2280E">
        <w:rPr>
          <w:rFonts w:ascii="Arial" w:hAnsi="Arial" w:cs="Arial"/>
          <w:sz w:val="20"/>
          <w:szCs w:val="20"/>
          <w:lang w:val="en"/>
        </w:rPr>
        <w:t>) is usually carried out by the referring physician before treatment during initial evaluation of the patient or when pathologic classification is not possible.</w:t>
      </w:r>
    </w:p>
    <w:p w14:paraId="2629FA77" w14:textId="77777777" w:rsidR="005402BC" w:rsidRDefault="005402BC" w:rsidP="005402BC">
      <w:pPr>
        <w:spacing w:after="0" w:line="276" w:lineRule="auto"/>
        <w:jc w:val="both"/>
        <w:rPr>
          <w:rFonts w:ascii="Arial" w:hAnsi="Arial" w:cs="Arial"/>
          <w:sz w:val="20"/>
          <w:szCs w:val="20"/>
          <w:lang w:val="en"/>
        </w:rPr>
      </w:pPr>
    </w:p>
    <w:p w14:paraId="0CBCBAEA"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 xml:space="preserve">Pathologic staging is usually performed after surgical resection of the primary tumor. Pathologic staging depends on pathologic documentation of the anatomic extent of disease, </w:t>
      </w:r>
      <w:proofErr w:type="gramStart"/>
      <w:r w:rsidRPr="00B2280E">
        <w:rPr>
          <w:rFonts w:ascii="Arial" w:hAnsi="Arial" w:cs="Arial"/>
          <w:sz w:val="20"/>
          <w:szCs w:val="20"/>
          <w:lang w:val="en"/>
        </w:rPr>
        <w:t>whether or not</w:t>
      </w:r>
      <w:proofErr w:type="gramEnd"/>
      <w:r w:rsidRPr="00B2280E">
        <w:rPr>
          <w:rFonts w:ascii="Arial" w:hAnsi="Arial" w:cs="Arial"/>
          <w:sz w:val="20"/>
          <w:szCs w:val="20"/>
          <w:lang w:val="en"/>
        </w:rPr>
        <w:t xml:space="preserve"> the primary tumor has been completely removed. If a biopsied tumor is not resected for any reason (e.g., when technically unfeasible) and if the highest T and N categories or the M1 category of the tumor can be confirmed microscopically, the criteria for pathologic classification and staging have been satisfied without total removal of the primary cancer.</w:t>
      </w:r>
    </w:p>
    <w:p w14:paraId="30FD0318" w14:textId="77777777" w:rsidR="005402BC" w:rsidRDefault="005402BC" w:rsidP="005402BC">
      <w:pPr>
        <w:spacing w:after="0" w:line="276" w:lineRule="auto"/>
        <w:jc w:val="both"/>
        <w:rPr>
          <w:rFonts w:ascii="Arial" w:hAnsi="Arial" w:cs="Arial"/>
          <w:sz w:val="20"/>
          <w:szCs w:val="20"/>
          <w:lang w:val="en"/>
        </w:rPr>
      </w:pPr>
    </w:p>
    <w:p w14:paraId="028C89E0"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u w:val="single"/>
          <w:lang w:val="en"/>
        </w:rPr>
        <w:t>TNM Descriptors</w:t>
      </w:r>
    </w:p>
    <w:p w14:paraId="120A4097"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 xml:space="preserve">For identification of special cases of TNM or </w:t>
      </w:r>
      <w:proofErr w:type="spellStart"/>
      <w:r w:rsidRPr="00B2280E">
        <w:rPr>
          <w:rFonts w:ascii="Arial" w:hAnsi="Arial" w:cs="Arial"/>
          <w:sz w:val="20"/>
          <w:szCs w:val="20"/>
          <w:lang w:val="en"/>
        </w:rPr>
        <w:t>pTNM</w:t>
      </w:r>
      <w:proofErr w:type="spellEnd"/>
      <w:r w:rsidRPr="00B2280E">
        <w:rPr>
          <w:rFonts w:ascii="Arial" w:hAnsi="Arial" w:cs="Arial"/>
          <w:sz w:val="20"/>
          <w:szCs w:val="20"/>
          <w:lang w:val="en"/>
        </w:rPr>
        <w:t xml:space="preserve"> classifications, the “m” suffix and “y,” “r,” and </w:t>
      </w:r>
      <w:proofErr w:type="gramStart"/>
      <w:r w:rsidRPr="00B2280E">
        <w:rPr>
          <w:rFonts w:ascii="Arial" w:hAnsi="Arial" w:cs="Arial"/>
          <w:sz w:val="20"/>
          <w:szCs w:val="20"/>
          <w:lang w:val="en"/>
        </w:rPr>
        <w:t>“a” prefixes</w:t>
      </w:r>
      <w:proofErr w:type="gramEnd"/>
      <w:r w:rsidRPr="00B2280E">
        <w:rPr>
          <w:rFonts w:ascii="Arial" w:hAnsi="Arial" w:cs="Arial"/>
          <w:sz w:val="20"/>
          <w:szCs w:val="20"/>
          <w:lang w:val="en"/>
        </w:rPr>
        <w:t xml:space="preserve"> are used. Although they do not affect the stage grouping, they indicate cases needing separate analysis.</w:t>
      </w:r>
    </w:p>
    <w:p w14:paraId="3311D744" w14:textId="77777777" w:rsidR="005402BC" w:rsidRDefault="005402BC" w:rsidP="005402BC">
      <w:pPr>
        <w:spacing w:after="0" w:line="276" w:lineRule="auto"/>
        <w:jc w:val="both"/>
        <w:rPr>
          <w:rFonts w:ascii="Arial" w:hAnsi="Arial" w:cs="Arial"/>
          <w:sz w:val="20"/>
          <w:szCs w:val="20"/>
          <w:lang w:val="en"/>
        </w:rPr>
      </w:pPr>
    </w:p>
    <w:p w14:paraId="5D491DF3"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u w:val="single"/>
          <w:lang w:val="en"/>
        </w:rPr>
        <w:t>The “m” suffix</w:t>
      </w:r>
      <w:r w:rsidRPr="00B2280E">
        <w:rPr>
          <w:rFonts w:ascii="Arial" w:hAnsi="Arial" w:cs="Arial"/>
          <w:sz w:val="20"/>
          <w:szCs w:val="20"/>
          <w:lang w:val="en"/>
        </w:rPr>
        <w:t xml:space="preserve"> indicates the presence of multiple primary tumors in a single site and is recorded in parentheses: </w:t>
      </w:r>
      <w:proofErr w:type="spellStart"/>
      <w:r w:rsidRPr="00B2280E">
        <w:rPr>
          <w:rFonts w:ascii="Arial" w:hAnsi="Arial" w:cs="Arial"/>
          <w:sz w:val="20"/>
          <w:szCs w:val="20"/>
          <w:lang w:val="en"/>
        </w:rPr>
        <w:t>pT</w:t>
      </w:r>
      <w:proofErr w:type="spellEnd"/>
      <w:r w:rsidRPr="00B2280E">
        <w:rPr>
          <w:rFonts w:ascii="Arial" w:hAnsi="Arial" w:cs="Arial"/>
          <w:sz w:val="20"/>
          <w:szCs w:val="20"/>
          <w:lang w:val="en"/>
        </w:rPr>
        <w:t>(m)NM.</w:t>
      </w:r>
    </w:p>
    <w:p w14:paraId="29A5F523" w14:textId="77777777" w:rsidR="005402BC" w:rsidRDefault="005402BC" w:rsidP="005402BC">
      <w:pPr>
        <w:spacing w:after="0" w:line="276" w:lineRule="auto"/>
        <w:jc w:val="both"/>
        <w:rPr>
          <w:rFonts w:ascii="Arial" w:hAnsi="Arial" w:cs="Arial"/>
          <w:sz w:val="20"/>
          <w:szCs w:val="20"/>
          <w:lang w:val="en"/>
        </w:rPr>
      </w:pPr>
    </w:p>
    <w:p w14:paraId="63F5C27D"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u w:val="single"/>
          <w:lang w:val="en"/>
        </w:rPr>
        <w:t>The “y” prefix</w:t>
      </w:r>
      <w:r w:rsidRPr="00B2280E">
        <w:rPr>
          <w:rFonts w:ascii="Arial" w:hAnsi="Arial" w:cs="Arial"/>
          <w:sz w:val="20"/>
          <w:szCs w:val="20"/>
          <w:lang w:val="en"/>
        </w:rPr>
        <w:t xml:space="preserve"> indicates those cases in which classification is performed during or following initial multimodality therapy (i.e., neoadjuvant chemotherapy, radiation therapy, or both chemotherapy and radiation therapy). The </w:t>
      </w:r>
      <w:proofErr w:type="spellStart"/>
      <w:r w:rsidRPr="00B2280E">
        <w:rPr>
          <w:rFonts w:ascii="Arial" w:hAnsi="Arial" w:cs="Arial"/>
          <w:sz w:val="20"/>
          <w:szCs w:val="20"/>
          <w:lang w:val="en"/>
        </w:rPr>
        <w:t>cTNM</w:t>
      </w:r>
      <w:proofErr w:type="spellEnd"/>
      <w:r w:rsidRPr="00B2280E">
        <w:rPr>
          <w:rFonts w:ascii="Arial" w:hAnsi="Arial" w:cs="Arial"/>
          <w:sz w:val="20"/>
          <w:szCs w:val="20"/>
          <w:lang w:val="en"/>
        </w:rPr>
        <w:t xml:space="preserve"> or </w:t>
      </w:r>
      <w:proofErr w:type="spellStart"/>
      <w:r w:rsidRPr="00B2280E">
        <w:rPr>
          <w:rFonts w:ascii="Arial" w:hAnsi="Arial" w:cs="Arial"/>
          <w:sz w:val="20"/>
          <w:szCs w:val="20"/>
          <w:lang w:val="en"/>
        </w:rPr>
        <w:t>pTNM</w:t>
      </w:r>
      <w:proofErr w:type="spellEnd"/>
      <w:r w:rsidRPr="00B2280E">
        <w:rPr>
          <w:rFonts w:ascii="Arial" w:hAnsi="Arial" w:cs="Arial"/>
          <w:sz w:val="20"/>
          <w:szCs w:val="20"/>
          <w:lang w:val="en"/>
        </w:rPr>
        <w:t xml:space="preserve"> category is identified by a “y” prefix. The </w:t>
      </w:r>
      <w:proofErr w:type="spellStart"/>
      <w:r w:rsidRPr="00B2280E">
        <w:rPr>
          <w:rFonts w:ascii="Arial" w:hAnsi="Arial" w:cs="Arial"/>
          <w:sz w:val="20"/>
          <w:szCs w:val="20"/>
          <w:lang w:val="en"/>
        </w:rPr>
        <w:t>ycTNM</w:t>
      </w:r>
      <w:proofErr w:type="spellEnd"/>
      <w:r w:rsidRPr="00B2280E">
        <w:rPr>
          <w:rFonts w:ascii="Arial" w:hAnsi="Arial" w:cs="Arial"/>
          <w:sz w:val="20"/>
          <w:szCs w:val="20"/>
          <w:lang w:val="en"/>
        </w:rPr>
        <w:t xml:space="preserve"> or </w:t>
      </w:r>
      <w:proofErr w:type="spellStart"/>
      <w:r w:rsidRPr="00B2280E">
        <w:rPr>
          <w:rFonts w:ascii="Arial" w:hAnsi="Arial" w:cs="Arial"/>
          <w:sz w:val="20"/>
          <w:szCs w:val="20"/>
          <w:lang w:val="en"/>
        </w:rPr>
        <w:t>ypTNM</w:t>
      </w:r>
      <w:proofErr w:type="spellEnd"/>
      <w:r w:rsidRPr="00B2280E">
        <w:rPr>
          <w:rFonts w:ascii="Arial" w:hAnsi="Arial" w:cs="Arial"/>
          <w:sz w:val="20"/>
          <w:szCs w:val="20"/>
          <w:lang w:val="en"/>
        </w:rPr>
        <w:t xml:space="preserve"> categorizes the extent of tumor </w:t>
      </w:r>
      <w:proofErr w:type="gramStart"/>
      <w:r w:rsidRPr="00B2280E">
        <w:rPr>
          <w:rFonts w:ascii="Arial" w:hAnsi="Arial" w:cs="Arial"/>
          <w:sz w:val="20"/>
          <w:szCs w:val="20"/>
          <w:lang w:val="en"/>
        </w:rPr>
        <w:t>actually present</w:t>
      </w:r>
      <w:proofErr w:type="gramEnd"/>
      <w:r w:rsidRPr="00B2280E">
        <w:rPr>
          <w:rFonts w:ascii="Arial" w:hAnsi="Arial" w:cs="Arial"/>
          <w:sz w:val="20"/>
          <w:szCs w:val="20"/>
          <w:lang w:val="en"/>
        </w:rPr>
        <w:t xml:space="preserve"> at the time of that examination. The “y” categorization is not an estimate of tumor prior to multimodality therapy (i.e., before initiation of neoadjuvant therapy).</w:t>
      </w:r>
    </w:p>
    <w:p w14:paraId="54520894" w14:textId="77777777" w:rsidR="005402BC" w:rsidRDefault="005402BC" w:rsidP="005402BC">
      <w:pPr>
        <w:spacing w:after="0" w:line="276" w:lineRule="auto"/>
        <w:jc w:val="both"/>
        <w:rPr>
          <w:rFonts w:ascii="Arial" w:hAnsi="Arial" w:cs="Arial"/>
          <w:sz w:val="20"/>
          <w:szCs w:val="20"/>
          <w:lang w:val="en"/>
        </w:rPr>
      </w:pPr>
    </w:p>
    <w:p w14:paraId="6A947F70"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u w:val="single"/>
          <w:lang w:val="en"/>
        </w:rPr>
        <w:t>The “r” prefix</w:t>
      </w:r>
      <w:r w:rsidRPr="00B2280E">
        <w:rPr>
          <w:rFonts w:ascii="Arial" w:hAnsi="Arial" w:cs="Arial"/>
          <w:sz w:val="20"/>
          <w:szCs w:val="20"/>
          <w:lang w:val="en"/>
        </w:rPr>
        <w:t xml:space="preserve"> indicates a recurrent tumor when staged after a documented disease-free </w:t>
      </w:r>
      <w:proofErr w:type="gramStart"/>
      <w:r w:rsidRPr="00B2280E">
        <w:rPr>
          <w:rFonts w:ascii="Arial" w:hAnsi="Arial" w:cs="Arial"/>
          <w:sz w:val="20"/>
          <w:szCs w:val="20"/>
          <w:lang w:val="en"/>
        </w:rPr>
        <w:t>interval, and</w:t>
      </w:r>
      <w:proofErr w:type="gramEnd"/>
      <w:r w:rsidRPr="00B2280E">
        <w:rPr>
          <w:rFonts w:ascii="Arial" w:hAnsi="Arial" w:cs="Arial"/>
          <w:sz w:val="20"/>
          <w:szCs w:val="20"/>
          <w:lang w:val="en"/>
        </w:rPr>
        <w:t xml:space="preserve"> is identified by the “r” prefix: </w:t>
      </w:r>
      <w:proofErr w:type="spellStart"/>
      <w:r w:rsidRPr="00B2280E">
        <w:rPr>
          <w:rFonts w:ascii="Arial" w:hAnsi="Arial" w:cs="Arial"/>
          <w:sz w:val="20"/>
          <w:szCs w:val="20"/>
          <w:lang w:val="en"/>
        </w:rPr>
        <w:t>rTNM</w:t>
      </w:r>
      <w:proofErr w:type="spellEnd"/>
      <w:r w:rsidRPr="00B2280E">
        <w:rPr>
          <w:rFonts w:ascii="Arial" w:hAnsi="Arial" w:cs="Arial"/>
          <w:sz w:val="20"/>
          <w:szCs w:val="20"/>
          <w:lang w:val="en"/>
        </w:rPr>
        <w:t>.</w:t>
      </w:r>
    </w:p>
    <w:p w14:paraId="6EA182D0" w14:textId="77777777" w:rsidR="005402BC" w:rsidRDefault="005402BC" w:rsidP="005402BC">
      <w:pPr>
        <w:spacing w:after="0" w:line="276" w:lineRule="auto"/>
        <w:jc w:val="both"/>
        <w:rPr>
          <w:rFonts w:ascii="Arial" w:hAnsi="Arial" w:cs="Arial"/>
          <w:sz w:val="20"/>
          <w:szCs w:val="20"/>
          <w:lang w:val="en"/>
        </w:rPr>
      </w:pPr>
    </w:p>
    <w:p w14:paraId="59B9BF88"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u w:val="single"/>
          <w:lang w:val="en"/>
        </w:rPr>
        <w:t>The “a” prefix</w:t>
      </w:r>
      <w:r w:rsidRPr="00B2280E">
        <w:rPr>
          <w:rFonts w:ascii="Arial" w:hAnsi="Arial" w:cs="Arial"/>
          <w:sz w:val="20"/>
          <w:szCs w:val="20"/>
          <w:lang w:val="en"/>
        </w:rPr>
        <w:t xml:space="preserve"> designates the stage determined at autopsy: </w:t>
      </w:r>
      <w:proofErr w:type="spellStart"/>
      <w:r w:rsidRPr="00B2280E">
        <w:rPr>
          <w:rFonts w:ascii="Arial" w:hAnsi="Arial" w:cs="Arial"/>
          <w:sz w:val="20"/>
          <w:szCs w:val="20"/>
          <w:lang w:val="en"/>
        </w:rPr>
        <w:t>aTNM</w:t>
      </w:r>
      <w:proofErr w:type="spellEnd"/>
      <w:r w:rsidRPr="00B2280E">
        <w:rPr>
          <w:rFonts w:ascii="Arial" w:hAnsi="Arial" w:cs="Arial"/>
          <w:sz w:val="20"/>
          <w:szCs w:val="20"/>
          <w:lang w:val="en"/>
        </w:rPr>
        <w:t>.</w:t>
      </w:r>
    </w:p>
    <w:p w14:paraId="7F7072C1" w14:textId="77777777" w:rsidR="005402BC" w:rsidRDefault="005402BC" w:rsidP="005402BC">
      <w:pPr>
        <w:spacing w:after="0" w:line="276" w:lineRule="auto"/>
        <w:jc w:val="both"/>
        <w:rPr>
          <w:rFonts w:ascii="Arial" w:hAnsi="Arial" w:cs="Arial"/>
          <w:sz w:val="20"/>
          <w:szCs w:val="20"/>
          <w:lang w:val="en"/>
        </w:rPr>
      </w:pPr>
    </w:p>
    <w:p w14:paraId="1CC61338" w14:textId="77777777" w:rsidR="005402BC" w:rsidRDefault="005402BC">
      <w:pPr>
        <w:rPr>
          <w:rFonts w:ascii="Arial" w:hAnsi="Arial" w:cs="Arial"/>
          <w:sz w:val="20"/>
          <w:szCs w:val="20"/>
          <w:u w:val="single"/>
          <w:lang w:val="en"/>
        </w:rPr>
      </w:pPr>
      <w:r>
        <w:rPr>
          <w:rFonts w:ascii="Arial" w:hAnsi="Arial" w:cs="Arial"/>
          <w:sz w:val="20"/>
          <w:szCs w:val="20"/>
          <w:u w:val="single"/>
          <w:lang w:val="en"/>
        </w:rPr>
        <w:br w:type="page"/>
      </w:r>
    </w:p>
    <w:p w14:paraId="32388B4E" w14:textId="01D9D4D1" w:rsidR="005402BC" w:rsidRDefault="00BC3FE6" w:rsidP="005402BC">
      <w:pPr>
        <w:spacing w:after="0" w:line="276" w:lineRule="auto"/>
        <w:jc w:val="both"/>
        <w:rPr>
          <w:rFonts w:ascii="Arial" w:hAnsi="Arial" w:cs="Arial"/>
          <w:sz w:val="20"/>
          <w:szCs w:val="20"/>
          <w:u w:val="single"/>
          <w:lang w:val="en"/>
        </w:rPr>
      </w:pPr>
      <w:r w:rsidRPr="00B2280E">
        <w:rPr>
          <w:rFonts w:ascii="Arial" w:hAnsi="Arial" w:cs="Arial"/>
          <w:sz w:val="20"/>
          <w:szCs w:val="20"/>
          <w:u w:val="single"/>
          <w:lang w:val="en"/>
        </w:rPr>
        <w:lastRenderedPageBreak/>
        <w:t>T Category Considerations</w:t>
      </w:r>
    </w:p>
    <w:p w14:paraId="42785C02"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Tumor that is adherent to other organs or structures, macroscopically, is classified cT4. However, if no tumor is present in the adhesion and there is no serosal penetration microscopically, the classification should be pT1 to pT3.</w:t>
      </w:r>
    </w:p>
    <w:p w14:paraId="153E3C3A" w14:textId="77777777" w:rsidR="005402BC" w:rsidRDefault="005402BC" w:rsidP="005402BC">
      <w:pPr>
        <w:spacing w:after="0" w:line="276" w:lineRule="auto"/>
        <w:jc w:val="both"/>
        <w:rPr>
          <w:rFonts w:ascii="Arial" w:hAnsi="Arial" w:cs="Arial"/>
          <w:sz w:val="20"/>
          <w:szCs w:val="20"/>
          <w:lang w:val="en"/>
        </w:rPr>
      </w:pPr>
    </w:p>
    <w:p w14:paraId="631C3E9D"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u w:val="single"/>
          <w:lang w:val="en"/>
        </w:rPr>
        <w:t>N Category Considerations</w:t>
      </w:r>
    </w:p>
    <w:p w14:paraId="7E8C5582"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The regional lymph nodes for the appendix are the ileocolic lymph nodes. </w:t>
      </w:r>
      <w:r w:rsidRPr="00B2280E">
        <w:rPr>
          <w:rFonts w:ascii="Arial" w:hAnsi="Arial" w:cs="Arial"/>
          <w:spacing w:val="-2"/>
          <w:kern w:val="22"/>
          <w:sz w:val="20"/>
          <w:szCs w:val="20"/>
          <w:lang w:val="en"/>
        </w:rPr>
        <w:t xml:space="preserve">Histologic examination of a regional lymphadenectomy specimen will ordinarily include 12 or more lymph nodes. </w:t>
      </w:r>
      <w:r w:rsidRPr="00B2280E">
        <w:rPr>
          <w:rFonts w:ascii="Arial" w:hAnsi="Arial" w:cs="Arial"/>
          <w:sz w:val="20"/>
          <w:szCs w:val="20"/>
          <w:lang w:val="en"/>
        </w:rPr>
        <w:t>If the lymph node results are negative, but the number ordinarily examined is not met, classify as pN0.</w:t>
      </w:r>
    </w:p>
    <w:p w14:paraId="26D45F79" w14:textId="77777777" w:rsidR="005402BC" w:rsidRDefault="005402BC" w:rsidP="005402BC">
      <w:pPr>
        <w:spacing w:after="0" w:line="276" w:lineRule="auto"/>
        <w:jc w:val="both"/>
        <w:rPr>
          <w:rFonts w:ascii="Arial" w:hAnsi="Arial" w:cs="Arial"/>
          <w:sz w:val="20"/>
          <w:szCs w:val="20"/>
          <w:lang w:val="en"/>
        </w:rPr>
      </w:pPr>
    </w:p>
    <w:p w14:paraId="17D6F601" w14:textId="77777777" w:rsidR="005402BC" w:rsidRDefault="00BC3FE6" w:rsidP="005402BC">
      <w:pPr>
        <w:spacing w:after="0" w:line="276" w:lineRule="auto"/>
        <w:jc w:val="both"/>
        <w:rPr>
          <w:rFonts w:ascii="Arial" w:hAnsi="Arial" w:cs="Arial"/>
          <w:sz w:val="20"/>
          <w:szCs w:val="20"/>
          <w:lang w:val="en"/>
        </w:rPr>
      </w:pPr>
      <w:r w:rsidRPr="00B2280E">
        <w:rPr>
          <w:rFonts w:ascii="Arial" w:eastAsia="Times New Roman" w:hAnsi="Arial" w:cs="Arial"/>
          <w:sz w:val="20"/>
          <w:szCs w:val="20"/>
          <w:lang w:val="en"/>
        </w:rPr>
        <w:t>References</w:t>
      </w:r>
      <w:bookmarkStart w:id="27" w:name="R38712"/>
    </w:p>
    <w:p w14:paraId="2C52DF22" w14:textId="77777777" w:rsidR="005402BC" w:rsidRPr="005402BC" w:rsidRDefault="00BC3FE6" w:rsidP="005402BC">
      <w:pPr>
        <w:pStyle w:val="ListParagraph"/>
        <w:numPr>
          <w:ilvl w:val="0"/>
          <w:numId w:val="11"/>
        </w:numPr>
        <w:spacing w:after="0" w:line="276" w:lineRule="auto"/>
        <w:jc w:val="both"/>
        <w:rPr>
          <w:rFonts w:ascii="Arial" w:hAnsi="Arial" w:cs="Arial"/>
          <w:sz w:val="20"/>
          <w:szCs w:val="20"/>
          <w:lang w:val="en"/>
        </w:rPr>
      </w:pPr>
      <w:r w:rsidRPr="005402BC">
        <w:rPr>
          <w:rFonts w:ascii="Arial" w:eastAsia="Times New Roman" w:hAnsi="Arial" w:cs="Arial"/>
          <w:sz w:val="20"/>
          <w:szCs w:val="20"/>
          <w:lang w:val="en"/>
        </w:rPr>
        <w:t>AJCC Version 9 Neuroendocrine Tumors of the Appendix Cancer Staging System. Copyright 2023 American College of Surgeons.</w:t>
      </w:r>
      <w:bookmarkStart w:id="28" w:name="N9015"/>
      <w:bookmarkEnd w:id="27"/>
    </w:p>
    <w:p w14:paraId="337BB299" w14:textId="77777777" w:rsidR="005402BC" w:rsidRDefault="005402BC" w:rsidP="005402BC">
      <w:pPr>
        <w:spacing w:after="0" w:line="276" w:lineRule="auto"/>
        <w:jc w:val="both"/>
        <w:rPr>
          <w:rFonts w:ascii="Arial" w:eastAsia="Times New Roman" w:hAnsi="Arial" w:cs="Arial"/>
          <w:b/>
          <w:bCs/>
          <w:sz w:val="20"/>
          <w:szCs w:val="20"/>
          <w:lang w:val="en"/>
        </w:rPr>
      </w:pPr>
    </w:p>
    <w:p w14:paraId="2FCE2CCB" w14:textId="77777777" w:rsidR="005402BC" w:rsidRDefault="00BC3FE6" w:rsidP="005402BC">
      <w:pPr>
        <w:spacing w:after="0" w:line="276" w:lineRule="auto"/>
        <w:jc w:val="both"/>
        <w:rPr>
          <w:rFonts w:ascii="Arial" w:hAnsi="Arial" w:cs="Arial"/>
          <w:sz w:val="20"/>
          <w:szCs w:val="20"/>
          <w:lang w:val="en"/>
        </w:rPr>
      </w:pPr>
      <w:r w:rsidRPr="005402BC">
        <w:rPr>
          <w:rFonts w:ascii="Arial" w:eastAsia="Times New Roman" w:hAnsi="Arial" w:cs="Arial"/>
          <w:b/>
          <w:bCs/>
          <w:sz w:val="20"/>
          <w:szCs w:val="20"/>
          <w:lang w:val="en"/>
        </w:rPr>
        <w:t>G. Additional Findings</w:t>
      </w:r>
      <w:bookmarkEnd w:id="28"/>
    </w:p>
    <w:p w14:paraId="66ACA33A" w14:textId="77777777" w:rsidR="005402BC" w:rsidRDefault="00BC3FE6" w:rsidP="005402BC">
      <w:pPr>
        <w:spacing w:after="0" w:line="276" w:lineRule="auto"/>
        <w:jc w:val="both"/>
        <w:rPr>
          <w:rFonts w:ascii="Arial" w:hAnsi="Arial" w:cs="Arial"/>
          <w:sz w:val="20"/>
          <w:szCs w:val="20"/>
          <w:lang w:val="en"/>
        </w:rPr>
      </w:pPr>
      <w:r w:rsidRPr="00B2280E">
        <w:rPr>
          <w:rFonts w:ascii="Arial" w:hAnsi="Arial" w:cs="Arial"/>
          <w:sz w:val="20"/>
          <w:szCs w:val="20"/>
          <w:lang w:val="en"/>
        </w:rPr>
        <w:t>Coagulative tumor necrosis, usually punctate, may indicate more aggressive behavior</w:t>
      </w:r>
      <w:hyperlink w:anchor="R38713" w:tooltip="Rindi G,&#10;Kloppel G, Couvelard A, et al. TNM staging of midgut and hindgut (neuro)&#10;endocrine tumors: a consensus proposal including a grading system. Virchows&#10;Arch. 2007;451(4):757-762." w:history="1">
        <w:r w:rsidRPr="00B2280E">
          <w:rPr>
            <w:rStyle w:val="Hyperlink"/>
            <w:rFonts w:ascii="Arial" w:hAnsi="Arial" w:cs="Arial"/>
            <w:sz w:val="20"/>
            <w:szCs w:val="20"/>
            <w:vertAlign w:val="superscript"/>
            <w:lang w:val="en"/>
          </w:rPr>
          <w:t>1</w:t>
        </w:r>
      </w:hyperlink>
      <w:r w:rsidRPr="00B2280E">
        <w:rPr>
          <w:rFonts w:ascii="Arial" w:hAnsi="Arial" w:cs="Arial"/>
          <w:sz w:val="20"/>
          <w:szCs w:val="20"/>
          <w:lang w:val="en"/>
        </w:rPr>
        <w:t> and should be reported. Appendiceal NETs are often an incidental finding in specimens removed for acute appendicitis. </w:t>
      </w:r>
    </w:p>
    <w:p w14:paraId="55FCBB50" w14:textId="77777777" w:rsidR="005402BC" w:rsidRDefault="005402BC" w:rsidP="005402BC">
      <w:pPr>
        <w:spacing w:after="0" w:line="276" w:lineRule="auto"/>
        <w:jc w:val="both"/>
        <w:rPr>
          <w:rFonts w:ascii="Arial" w:hAnsi="Arial" w:cs="Arial"/>
          <w:sz w:val="20"/>
          <w:szCs w:val="20"/>
          <w:lang w:val="en"/>
        </w:rPr>
      </w:pPr>
    </w:p>
    <w:p w14:paraId="32B88A87" w14:textId="77777777" w:rsidR="005402BC" w:rsidRDefault="00BC3FE6" w:rsidP="005402BC">
      <w:pPr>
        <w:spacing w:after="0" w:line="276" w:lineRule="auto"/>
        <w:jc w:val="both"/>
        <w:rPr>
          <w:rFonts w:ascii="Arial" w:hAnsi="Arial" w:cs="Arial"/>
          <w:sz w:val="20"/>
          <w:szCs w:val="20"/>
          <w:lang w:val="en"/>
        </w:rPr>
      </w:pPr>
      <w:r w:rsidRPr="00B2280E">
        <w:rPr>
          <w:rFonts w:ascii="Arial" w:eastAsia="Times New Roman" w:hAnsi="Arial" w:cs="Arial"/>
          <w:sz w:val="20"/>
          <w:szCs w:val="20"/>
          <w:lang w:val="en"/>
        </w:rPr>
        <w:t>References</w:t>
      </w:r>
      <w:bookmarkStart w:id="29" w:name="R38713"/>
    </w:p>
    <w:p w14:paraId="1A8C3C0F" w14:textId="1E1370EE" w:rsidR="00BC3FE6" w:rsidRPr="005402BC" w:rsidRDefault="00BC3FE6" w:rsidP="005402BC">
      <w:pPr>
        <w:pStyle w:val="ListParagraph"/>
        <w:numPr>
          <w:ilvl w:val="0"/>
          <w:numId w:val="12"/>
        </w:numPr>
        <w:spacing w:after="0" w:line="276" w:lineRule="auto"/>
        <w:jc w:val="both"/>
        <w:rPr>
          <w:rFonts w:ascii="Arial" w:hAnsi="Arial" w:cs="Arial"/>
          <w:sz w:val="20"/>
          <w:szCs w:val="20"/>
          <w:lang w:val="en"/>
        </w:rPr>
      </w:pPr>
      <w:r w:rsidRPr="005402BC">
        <w:rPr>
          <w:rFonts w:ascii="Arial" w:hAnsi="Arial" w:cs="Arial"/>
          <w:sz w:val="20"/>
          <w:szCs w:val="20"/>
          <w:lang w:val="en"/>
        </w:rPr>
        <w:t xml:space="preserve">Rindi G, </w:t>
      </w:r>
      <w:proofErr w:type="spellStart"/>
      <w:r w:rsidRPr="005402BC">
        <w:rPr>
          <w:rFonts w:ascii="Arial" w:hAnsi="Arial" w:cs="Arial"/>
          <w:sz w:val="20"/>
          <w:szCs w:val="20"/>
          <w:lang w:val="en"/>
        </w:rPr>
        <w:t>Kloppel</w:t>
      </w:r>
      <w:proofErr w:type="spellEnd"/>
      <w:r w:rsidRPr="005402BC">
        <w:rPr>
          <w:rFonts w:ascii="Arial" w:hAnsi="Arial" w:cs="Arial"/>
          <w:sz w:val="20"/>
          <w:szCs w:val="20"/>
          <w:lang w:val="en"/>
        </w:rPr>
        <w:t xml:space="preserve"> G, </w:t>
      </w:r>
      <w:proofErr w:type="spellStart"/>
      <w:r w:rsidRPr="005402BC">
        <w:rPr>
          <w:rFonts w:ascii="Arial" w:hAnsi="Arial" w:cs="Arial"/>
          <w:sz w:val="20"/>
          <w:szCs w:val="20"/>
          <w:lang w:val="en"/>
        </w:rPr>
        <w:t>Couvelard</w:t>
      </w:r>
      <w:proofErr w:type="spellEnd"/>
      <w:r w:rsidRPr="005402BC">
        <w:rPr>
          <w:rFonts w:ascii="Arial" w:hAnsi="Arial" w:cs="Arial"/>
          <w:sz w:val="20"/>
          <w:szCs w:val="20"/>
          <w:lang w:val="en"/>
        </w:rPr>
        <w:t xml:space="preserve"> A, et al. TNM staging of midgut and hindgut (neuro) endocrine tumors: a consensus proposal including a grading system. </w:t>
      </w:r>
      <w:proofErr w:type="spellStart"/>
      <w:r w:rsidRPr="005402BC">
        <w:rPr>
          <w:rStyle w:val="Emphasis"/>
          <w:rFonts w:ascii="Arial" w:hAnsi="Arial" w:cs="Arial"/>
          <w:sz w:val="20"/>
          <w:szCs w:val="20"/>
          <w:lang w:val="en"/>
        </w:rPr>
        <w:t>Virchows</w:t>
      </w:r>
      <w:proofErr w:type="spellEnd"/>
      <w:r w:rsidRPr="005402BC">
        <w:rPr>
          <w:rStyle w:val="Emphasis"/>
          <w:rFonts w:ascii="Arial" w:hAnsi="Arial" w:cs="Arial"/>
          <w:sz w:val="20"/>
          <w:szCs w:val="20"/>
          <w:lang w:val="en"/>
        </w:rPr>
        <w:t xml:space="preserve"> Arch</w:t>
      </w:r>
      <w:r w:rsidRPr="005402BC">
        <w:rPr>
          <w:rFonts w:ascii="Arial" w:hAnsi="Arial" w:cs="Arial"/>
          <w:sz w:val="20"/>
          <w:szCs w:val="20"/>
          <w:lang w:val="en"/>
        </w:rPr>
        <w:t>. 2007;451(4):757-762.</w:t>
      </w:r>
    </w:p>
    <w:bookmarkEnd w:id="29"/>
    <w:sectPr w:rsidR="00BC3FE6" w:rsidRPr="005402B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66B15" w14:textId="77777777" w:rsidR="00BC3FE6" w:rsidRDefault="00BC3FE6">
      <w:pPr>
        <w:spacing w:after="0" w:line="240" w:lineRule="auto"/>
      </w:pPr>
      <w:r>
        <w:separator/>
      </w:r>
    </w:p>
  </w:endnote>
  <w:endnote w:type="continuationSeparator" w:id="0">
    <w:p w14:paraId="1F9D903D" w14:textId="77777777" w:rsidR="00BC3FE6" w:rsidRDefault="00BC3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4AC7" w14:textId="743A089E" w:rsidR="00222A2D" w:rsidRDefault="00BC3FE6">
    <w:pPr>
      <w:pStyle w:val="Footer"/>
      <w:jc w:val="right"/>
    </w:pPr>
    <w:r>
      <w:fldChar w:fldCharType="begin"/>
    </w:r>
    <w:r>
      <w:instrText>PAGE</w:instrText>
    </w:r>
    <w:r>
      <w:fldChar w:fldCharType="separate"/>
    </w:r>
    <w:r w:rsidR="00EF5AA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6A100" w14:textId="77777777" w:rsidR="00BC3FE6" w:rsidRDefault="00BC3FE6">
    <w:r>
      <w:rPr>
        <w:rFonts w:ascii="Arial"/>
        <w:sz w:val="16"/>
      </w:rPr>
      <w:t>©</w:t>
    </w:r>
    <w:r>
      <w:rPr>
        <w:rFonts w:ascii="Arial"/>
        <w:sz w:val="16"/>
      </w:rPr>
      <w:t xml:space="preserve"> 2023 College of American Pathologists (CAP). All rights reserved. For Terms of Use please visit </w:t>
    </w:r>
    <w:hyperlink r:id="rId1" w:history="1">
      <w:r w:rsidRPr="005B61DC">
        <w:rPr>
          <w:rStyle w:val="Hyperlink"/>
          <w:rFonts w:ascii="Arial"/>
          <w:sz w:val="16"/>
        </w:rPr>
        <w:t>www.cap.org/cancerprotocols</w:t>
      </w:r>
    </w:hyperlink>
    <w:r>
      <w:rPr>
        <w:rFonts w:ascii="Arial"/>
        <w:sz w:val="16"/>
      </w:rPr>
      <w:t xml:space="preserve"> .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4B013" w14:textId="77777777" w:rsidR="00BC3FE6" w:rsidRDefault="00BC3FE6">
      <w:pPr>
        <w:spacing w:after="0" w:line="240" w:lineRule="auto"/>
      </w:pPr>
      <w:r>
        <w:separator/>
      </w:r>
    </w:p>
  </w:footnote>
  <w:footnote w:type="continuationSeparator" w:id="0">
    <w:p w14:paraId="4647C22E" w14:textId="77777777" w:rsidR="00BC3FE6" w:rsidRDefault="00BC3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2686" w14:textId="77777777" w:rsidR="00222A2D" w:rsidRDefault="00222A2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7877"/>
    </w:tblGrid>
    <w:tr w:rsidR="00776589" w14:paraId="1BC01F5E" w14:textId="77777777" w:rsidTr="00776589">
      <w:tc>
        <w:tcPr>
          <w:tcW w:w="1500" w:type="dxa"/>
        </w:tcPr>
        <w:p w14:paraId="6585C402" w14:textId="77777777" w:rsidR="00BC3FE6" w:rsidRDefault="00BC3FE6">
          <w:r>
            <w:t>CAP Approved</w:t>
          </w:r>
        </w:p>
      </w:tc>
      <w:tc>
        <w:tcPr>
          <w:tcW w:w="8076" w:type="dxa"/>
        </w:tcPr>
        <w:p w14:paraId="57BD7F0E" w14:textId="25BF02D8" w:rsidR="00BC3FE6" w:rsidRDefault="00BC3FE6">
          <w:pPr>
            <w:jc w:val="right"/>
          </w:pPr>
          <w:r>
            <w:t>Appendix.NET_5.0.0.0.</w:t>
          </w:r>
          <w:r w:rsidR="0041281A">
            <w:t>REL</w:t>
          </w:r>
          <w:r>
            <w:t>_CAPCP</w:t>
          </w:r>
        </w:p>
      </w:tc>
    </w:tr>
  </w:tbl>
  <w:p w14:paraId="3480267A" w14:textId="77777777" w:rsidR="00222A2D" w:rsidRDefault="00222A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4FDA" w14:textId="64E7DDA6" w:rsidR="00222A2D" w:rsidRDefault="00BC3FE6">
    <w:r>
      <w:rPr>
        <w:noProof/>
      </w:rPr>
      <w:drawing>
        <wp:inline distT="0" distB="0" distL="0" distR="0" wp14:anchorId="24574B95" wp14:editId="43FB5CEF">
          <wp:extent cx="3990000" cy="792000"/>
          <wp:effectExtent l="0" t="0" r="0" b="0"/>
          <wp:docPr id="1729046031" name="Picture 172904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 cstate="print"/>
                  <a:stretch>
                    <a:fillRect/>
                  </a:stretch>
                </pic:blipFill>
                <pic:spPr>
                  <a:xfrm>
                    <a:off x="0" y="0"/>
                    <a:ext cx="3990000" cy="792000"/>
                  </a:xfrm>
                  <a:prstGeom prst="rect">
                    <a:avLst/>
                  </a:prstGeom>
                </pic:spPr>
              </pic:pic>
            </a:graphicData>
          </a:graphic>
        </wp:inline>
      </w:drawing>
    </w:r>
    <w:r w:rsidR="00EF5AA7">
      <w:rPr>
        <w:noProof/>
      </w:rPr>
      <mc:AlternateContent>
        <mc:Choice Requires="wps">
          <w:drawing>
            <wp:anchor distT="0" distB="0" distL="114300" distR="114300" simplePos="0" relativeHeight="251657216" behindDoc="0" locked="0" layoutInCell="1" allowOverlap="1" wp14:anchorId="1D291372" wp14:editId="39AC2D06">
              <wp:simplePos x="0" y="0"/>
              <wp:positionH relativeFrom="column">
                <wp:posOffset>0</wp:posOffset>
              </wp:positionH>
              <wp:positionV relativeFrom="paragraph">
                <wp:posOffset>0</wp:posOffset>
              </wp:positionV>
              <wp:extent cx="635000" cy="635000"/>
              <wp:effectExtent l="0" t="0" r="3175" b="3175"/>
              <wp:wrapNone/>
              <wp:docPr id="677230598" name="WordArt 10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CD7F22" id="_x0000_t202" coordsize="21600,21600" o:spt="202" path="m,l,21600r21600,l21600,xe">
              <v:stroke joinstyle="miter"/>
              <v:path gradientshapeok="t" o:connecttype="rect"/>
            </v:shapetype>
            <v:shape id="WordArt 1026" o:spid="_x0000_s1026" type="#_x0000_t20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" filled="f" stroked="f">
              <o:lock v:ext="edit" selection="t"/>
              <v:textbox style="mso-fit-shape-to-text:t"/>
            </v:shape>
          </w:pict>
        </mc:Fallback>
      </mc:AlternateContent>
    </w:r>
    <w:r w:rsidR="00C50170">
      <w:rPr>
        <w:noProof/>
      </w:rPr>
      <w:pict w14:anchorId="4BDBAE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50pt;height:50pt;z-index:251658240;visibility:hidden;mso-position-horizontal-relative:text;mso-position-vertical-relative:text">
          <o:lock v:ext="edit" selection="t" text="f" shapetype="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F774E"/>
    <w:multiLevelType w:val="multilevel"/>
    <w:tmpl w:val="10944A3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3E5F50"/>
    <w:multiLevelType w:val="multilevel"/>
    <w:tmpl w:val="0A023754"/>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CC6B6D"/>
    <w:multiLevelType w:val="multilevel"/>
    <w:tmpl w:val="070C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BB51F1"/>
    <w:multiLevelType w:val="multilevel"/>
    <w:tmpl w:val="748ED036"/>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8A5877"/>
    <w:multiLevelType w:val="multilevel"/>
    <w:tmpl w:val="748ED036"/>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4385A"/>
    <w:multiLevelType w:val="multilevel"/>
    <w:tmpl w:val="2E40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ED119B"/>
    <w:multiLevelType w:val="multilevel"/>
    <w:tmpl w:val="2BA6E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6390F"/>
    <w:multiLevelType w:val="hybridMultilevel"/>
    <w:tmpl w:val="FAA05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273ADA"/>
    <w:multiLevelType w:val="multilevel"/>
    <w:tmpl w:val="02ACF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813A38"/>
    <w:multiLevelType w:val="multilevel"/>
    <w:tmpl w:val="8E9ED4DC"/>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312DDF"/>
    <w:multiLevelType w:val="multilevel"/>
    <w:tmpl w:val="EAD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095779"/>
    <w:multiLevelType w:val="hybridMultilevel"/>
    <w:tmpl w:val="061CD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750135">
    <w:abstractNumId w:val="2"/>
  </w:num>
  <w:num w:numId="2" w16cid:durableId="1377899334">
    <w:abstractNumId w:val="8"/>
  </w:num>
  <w:num w:numId="3" w16cid:durableId="925654605">
    <w:abstractNumId w:val="10"/>
  </w:num>
  <w:num w:numId="4" w16cid:durableId="1112675633">
    <w:abstractNumId w:val="9"/>
  </w:num>
  <w:num w:numId="5" w16cid:durableId="603614155">
    <w:abstractNumId w:val="0"/>
  </w:num>
  <w:num w:numId="6" w16cid:durableId="1206452806">
    <w:abstractNumId w:val="1"/>
  </w:num>
  <w:num w:numId="7" w16cid:durableId="2060205224">
    <w:abstractNumId w:val="3"/>
  </w:num>
  <w:num w:numId="8" w16cid:durableId="768625111">
    <w:abstractNumId w:val="5"/>
  </w:num>
  <w:num w:numId="9" w16cid:durableId="876702933">
    <w:abstractNumId w:val="6"/>
  </w:num>
  <w:num w:numId="10" w16cid:durableId="2031836345">
    <w:abstractNumId w:val="7"/>
  </w:num>
  <w:num w:numId="11" w16cid:durableId="1485006432">
    <w:abstractNumId w:val="4"/>
  </w:num>
  <w:num w:numId="12" w16cid:durableId="819730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UwNjU1tTQwMzU3MDJW0lEKTi0uzszPAykwqQUAaE4SmiwAAAA="/>
  </w:docVars>
  <w:rsids>
    <w:rsidRoot w:val="00222A2D"/>
    <w:rsid w:val="00222A2D"/>
    <w:rsid w:val="0041281A"/>
    <w:rsid w:val="005402BC"/>
    <w:rsid w:val="0058686A"/>
    <w:rsid w:val="007029AF"/>
    <w:rsid w:val="00AC3C7F"/>
    <w:rsid w:val="00B2280E"/>
    <w:rsid w:val="00BC3FE6"/>
    <w:rsid w:val="00C50170"/>
    <w:rsid w:val="00C817A6"/>
    <w:rsid w:val="00E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9FC0434"/>
  <w15:docId w15:val="{31D732EF-A1CA-4698-AFB7-F37130406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Pr>
      <w:color w:val="0000FF"/>
      <w:u w:val="single"/>
    </w:rPr>
  </w:style>
  <w:style w:type="paragraph" w:customStyle="1" w:styleId="notespara">
    <w:name w:val="notespara"/>
    <w:basedOn w:val="Normal"/>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EE5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FA6"/>
  </w:style>
  <w:style w:type="paragraph" w:styleId="Footer">
    <w:name w:val="footer"/>
    <w:basedOn w:val="Normal"/>
    <w:link w:val="FooterChar"/>
    <w:uiPriority w:val="99"/>
    <w:unhideWhenUsed/>
    <w:rsid w:val="00EE5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A6"/>
  </w:style>
  <w:style w:type="character" w:styleId="UnresolvedMention">
    <w:name w:val="Unresolved Mention"/>
    <w:basedOn w:val="DefaultParagraphFont"/>
    <w:uiPriority w:val="99"/>
    <w:semiHidden/>
    <w:unhideWhenUsed/>
    <w:rsid w:val="00EE5FA6"/>
    <w:rPr>
      <w:color w:val="605E5C"/>
      <w:shd w:val="clear" w:color="auto" w:fill="E1DFDD"/>
    </w:rPr>
  </w:style>
  <w:style w:type="table" w:styleId="TableGrid">
    <w:name w:val="Table Grid"/>
    <w:basedOn w:val="TableNormal"/>
    <w:uiPriority w:val="39"/>
    <w:rsid w:val="00776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ListParagraph">
    <w:name w:val="List Paragraph"/>
    <w:basedOn w:val="Normal"/>
    <w:uiPriority w:val="34"/>
    <w:qFormat/>
    <w:rsid w:val="00B22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09796">
      <w:marLeft w:val="0"/>
      <w:marRight w:val="0"/>
      <w:marTop w:val="0"/>
      <w:marBottom w:val="0"/>
      <w:divBdr>
        <w:top w:val="none" w:sz="0" w:space="0" w:color="auto"/>
        <w:left w:val="none" w:sz="0" w:space="0" w:color="auto"/>
        <w:bottom w:val="none" w:sz="0" w:space="0" w:color="auto"/>
        <w:right w:val="none" w:sz="0" w:space="0" w:color="auto"/>
      </w:divBdr>
      <w:divsChild>
        <w:div w:id="1994260757">
          <w:marLeft w:val="0"/>
          <w:marRight w:val="0"/>
          <w:marTop w:val="0"/>
          <w:marBottom w:val="0"/>
          <w:divBdr>
            <w:top w:val="none" w:sz="0" w:space="0" w:color="auto"/>
            <w:left w:val="none" w:sz="0" w:space="0" w:color="auto"/>
            <w:bottom w:val="none" w:sz="0" w:space="0" w:color="auto"/>
            <w:right w:val="none" w:sz="0" w:space="0" w:color="auto"/>
          </w:divBdr>
        </w:div>
        <w:div w:id="262540803">
          <w:marLeft w:val="0"/>
          <w:marRight w:val="0"/>
          <w:marTop w:val="0"/>
          <w:marBottom w:val="0"/>
          <w:divBdr>
            <w:top w:val="none" w:sz="0" w:space="0" w:color="auto"/>
            <w:left w:val="none" w:sz="0" w:space="0" w:color="auto"/>
            <w:bottom w:val="none" w:sz="0" w:space="0" w:color="auto"/>
            <w:right w:val="none" w:sz="0" w:space="0" w:color="auto"/>
          </w:divBdr>
        </w:div>
        <w:div w:id="261299901">
          <w:marLeft w:val="0"/>
          <w:marRight w:val="0"/>
          <w:marTop w:val="0"/>
          <w:marBottom w:val="0"/>
          <w:divBdr>
            <w:top w:val="none" w:sz="0" w:space="0" w:color="auto"/>
            <w:left w:val="none" w:sz="0" w:space="0" w:color="auto"/>
            <w:bottom w:val="none" w:sz="0" w:space="0" w:color="auto"/>
            <w:right w:val="none" w:sz="0" w:space="0" w:color="auto"/>
          </w:divBdr>
        </w:div>
        <w:div w:id="1483473276">
          <w:marLeft w:val="0"/>
          <w:marRight w:val="0"/>
          <w:marTop w:val="0"/>
          <w:marBottom w:val="0"/>
          <w:divBdr>
            <w:top w:val="none" w:sz="0" w:space="0" w:color="auto"/>
            <w:left w:val="none" w:sz="0" w:space="0" w:color="auto"/>
            <w:bottom w:val="none" w:sz="0" w:space="0" w:color="auto"/>
            <w:right w:val="none" w:sz="0" w:space="0" w:color="auto"/>
          </w:divBdr>
        </w:div>
        <w:div w:id="1743990130">
          <w:marLeft w:val="0"/>
          <w:marRight w:val="0"/>
          <w:marTop w:val="0"/>
          <w:marBottom w:val="0"/>
          <w:divBdr>
            <w:top w:val="none" w:sz="0" w:space="0" w:color="auto"/>
            <w:left w:val="none" w:sz="0" w:space="0" w:color="auto"/>
            <w:bottom w:val="none" w:sz="0" w:space="0" w:color="auto"/>
            <w:right w:val="none" w:sz="0" w:space="0" w:color="auto"/>
          </w:divBdr>
        </w:div>
        <w:div w:id="1391810704">
          <w:marLeft w:val="0"/>
          <w:marRight w:val="0"/>
          <w:marTop w:val="0"/>
          <w:marBottom w:val="0"/>
          <w:divBdr>
            <w:top w:val="none" w:sz="0" w:space="0" w:color="auto"/>
            <w:left w:val="none" w:sz="0" w:space="0" w:color="auto"/>
            <w:bottom w:val="none" w:sz="0" w:space="0" w:color="auto"/>
            <w:right w:val="none" w:sz="0" w:space="0" w:color="auto"/>
          </w:divBdr>
        </w:div>
        <w:div w:id="571699649">
          <w:marLeft w:val="0"/>
          <w:marRight w:val="0"/>
          <w:marTop w:val="0"/>
          <w:marBottom w:val="0"/>
          <w:divBdr>
            <w:top w:val="none" w:sz="0" w:space="0" w:color="auto"/>
            <w:left w:val="none" w:sz="0" w:space="0" w:color="auto"/>
            <w:bottom w:val="none" w:sz="0" w:space="0" w:color="auto"/>
            <w:right w:val="none" w:sz="0" w:space="0" w:color="auto"/>
          </w:divBdr>
        </w:div>
        <w:div w:id="579485380">
          <w:marLeft w:val="0"/>
          <w:marRight w:val="0"/>
          <w:marTop w:val="0"/>
          <w:marBottom w:val="0"/>
          <w:divBdr>
            <w:top w:val="none" w:sz="0" w:space="0" w:color="auto"/>
            <w:left w:val="none" w:sz="0" w:space="0" w:color="auto"/>
            <w:bottom w:val="none" w:sz="0" w:space="0" w:color="auto"/>
            <w:right w:val="none" w:sz="0" w:space="0" w:color="auto"/>
          </w:divBdr>
        </w:div>
        <w:div w:id="2045327822">
          <w:marLeft w:val="0"/>
          <w:marRight w:val="0"/>
          <w:marTop w:val="0"/>
          <w:marBottom w:val="0"/>
          <w:divBdr>
            <w:top w:val="none" w:sz="0" w:space="0" w:color="auto"/>
            <w:left w:val="none" w:sz="0" w:space="0" w:color="auto"/>
            <w:bottom w:val="none" w:sz="0" w:space="0" w:color="auto"/>
            <w:right w:val="none" w:sz="0" w:space="0" w:color="auto"/>
          </w:divBdr>
        </w:div>
        <w:div w:id="501628415">
          <w:marLeft w:val="0"/>
          <w:marRight w:val="0"/>
          <w:marTop w:val="0"/>
          <w:marBottom w:val="0"/>
          <w:divBdr>
            <w:top w:val="none" w:sz="0" w:space="0" w:color="auto"/>
            <w:left w:val="none" w:sz="0" w:space="0" w:color="auto"/>
            <w:bottom w:val="none" w:sz="0" w:space="0" w:color="auto"/>
            <w:right w:val="none" w:sz="0" w:space="0" w:color="auto"/>
          </w:divBdr>
        </w:div>
        <w:div w:id="1971473984">
          <w:marLeft w:val="0"/>
          <w:marRight w:val="0"/>
          <w:marTop w:val="0"/>
          <w:marBottom w:val="0"/>
          <w:divBdr>
            <w:top w:val="none" w:sz="0" w:space="0" w:color="auto"/>
            <w:left w:val="none" w:sz="0" w:space="0" w:color="auto"/>
            <w:bottom w:val="none" w:sz="0" w:space="0" w:color="auto"/>
            <w:right w:val="none" w:sz="0" w:space="0" w:color="auto"/>
          </w:divBdr>
        </w:div>
        <w:div w:id="5099569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ap.org/cancerprotoco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4492</Words>
  <Characters>32769</Characters>
  <Application>Microsoft Office Word</Application>
  <DocSecurity>0</DocSecurity>
  <Lines>273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Hebert (s)</dc:creator>
  <cp:lastModifiedBy>Samantha Lavery (s)</cp:lastModifiedBy>
  <cp:revision>9</cp:revision>
  <dcterms:created xsi:type="dcterms:W3CDTF">2023-11-30T19:56:00Z</dcterms:created>
  <dcterms:modified xsi:type="dcterms:W3CDTF">2023-12-01T17:34:00Z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516bf45f8208d69f77fa659c0adbf6c2c1815747437eb72417b71247f3f0f95d</vt:lpwstr>
  </property>
</Properties>
</file>